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重庆化工职业学院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、《中华人民共和国高等教育法》和教育主管部门有关政策和规定，结合重庆化工职业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学院全称：重庆化工职业学院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教育部代码：</w:t>
      </w:r>
      <w:r>
        <w:rPr>
          <w:rFonts w:ascii="Times New Roman" w:eastAsia="Times New Roman" w:hAnsi="Times New Roman" w:cs="Times New Roman"/>
        </w:rPr>
        <w:t>14315)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学院于</w:t>
      </w:r>
      <w:r>
        <w:rPr>
          <w:rFonts w:ascii="Times New Roman" w:eastAsia="Times New Roman" w:hAnsi="Times New Roman" w:cs="Times New Roman"/>
        </w:rPr>
        <w:t>2010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月由重庆市人民政府批准成立，教育部备案设立，是重庆市教育委员会主管的公办普通高等院校。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学院办学地址：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江北校区：重庆市江北区嘉陵四村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号，邮政编码</w:t>
      </w:r>
      <w:r>
        <w:rPr>
          <w:rFonts w:ascii="Times New Roman" w:eastAsia="Times New Roman" w:hAnsi="Times New Roman" w:cs="Times New Roman"/>
        </w:rPr>
        <w:t>:400020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长寿新校区：重庆市长寿区北部新区菩提东路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号，邮政编码：</w:t>
      </w:r>
      <w:r>
        <w:rPr>
          <w:rFonts w:ascii="Times New Roman" w:eastAsia="Times New Roman" w:hAnsi="Times New Roman" w:cs="Times New Roman"/>
        </w:rPr>
        <w:t>401228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学院层次：全日制普通高职（专科）。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学院占地</w:t>
      </w:r>
      <w:r>
        <w:rPr>
          <w:rFonts w:ascii="Times New Roman" w:eastAsia="Times New Roman" w:hAnsi="Times New Roman" w:cs="Times New Roman"/>
        </w:rPr>
        <w:t xml:space="preserve"> 637.8</w:t>
      </w:r>
      <w:r>
        <w:rPr>
          <w:rFonts w:ascii="SimSun" w:eastAsia="SimSun" w:hAnsi="SimSun" w:cs="SimSun"/>
        </w:rPr>
        <w:t>亩，校舍建筑面积约</w:t>
      </w:r>
      <w:r>
        <w:rPr>
          <w:rFonts w:ascii="Times New Roman" w:eastAsia="Times New Roman" w:hAnsi="Times New Roman" w:cs="Times New Roman"/>
        </w:rPr>
        <w:t>18.99</w:t>
      </w:r>
      <w:r>
        <w:rPr>
          <w:rFonts w:ascii="SimSun" w:eastAsia="SimSun" w:hAnsi="SimSun" w:cs="SimSun"/>
        </w:rPr>
        <w:t>万平方米，图书馆藏书</w:t>
      </w:r>
      <w:r>
        <w:rPr>
          <w:rFonts w:ascii="Times New Roman" w:eastAsia="Times New Roman" w:hAnsi="Times New Roman" w:cs="Times New Roman"/>
        </w:rPr>
        <w:t>37</w:t>
      </w:r>
      <w:r>
        <w:rPr>
          <w:rFonts w:ascii="SimSun" w:eastAsia="SimSun" w:hAnsi="SimSun" w:cs="SimSun"/>
        </w:rPr>
        <w:t>万册，有江北校区、长寿校区两个校区。江北校区地处重庆市著名商贸中心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江北区观音桥商圈；长寿校区坐落在长寿区风景名胜菩提山麓，毗邻国家</w:t>
      </w:r>
      <w:r>
        <w:rPr>
          <w:rFonts w:ascii="Times New Roman" w:eastAsia="Times New Roman" w:hAnsi="Times New Roman" w:cs="Times New Roman"/>
        </w:rPr>
        <w:t xml:space="preserve"> AAAA </w:t>
      </w:r>
      <w:r>
        <w:rPr>
          <w:rFonts w:ascii="SimSun" w:eastAsia="SimSun" w:hAnsi="SimSun" w:cs="SimSun"/>
        </w:rPr>
        <w:t>景区长寿菩提山公园、长寿古镇、长寿区政府和高铁长寿北站。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学院具备完善的实习实训条件，有校内实训基地（实验实训室）</w:t>
      </w:r>
      <w:r>
        <w:rPr>
          <w:rFonts w:ascii="Times New Roman" w:eastAsia="Times New Roman" w:hAnsi="Times New Roman" w:cs="Times New Roman"/>
        </w:rPr>
        <w:t>149</w:t>
      </w:r>
      <w:r>
        <w:rPr>
          <w:rFonts w:ascii="SimSun" w:eastAsia="SimSun" w:hAnsi="SimSun" w:cs="SimSun"/>
        </w:rPr>
        <w:t>个，教学科研仪器设备价值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千余万元，实训场地近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万余平方米，可满足各专业学生实训实习所需，被评为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全国示范性实训基地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。拥有大型稳定校外实习基地近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SimSun" w:eastAsia="SimSun" w:hAnsi="SimSun" w:cs="SimSun"/>
        </w:rPr>
        <w:t>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学院设有化学工程学院、环境与质量检测学院、大数据与自动化学院、智能制造与汽车学院、制药工程学院、建筑工程与艺术设计学院、财经学院、继续教育学院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个二级学院及公共课教学部、思想政治理论课教学研究部、军事体育工作部等教学部门。现有专兼职教师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余名，其中副教授（高级工程师）以上高级职称教师占</w:t>
      </w:r>
      <w:r>
        <w:rPr>
          <w:rFonts w:ascii="Times New Roman" w:eastAsia="Times New Roman" w:hAnsi="Times New Roman" w:cs="Times New Roman"/>
        </w:rPr>
        <w:t>1/4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 70%</w:t>
      </w:r>
      <w:r>
        <w:rPr>
          <w:rFonts w:ascii="SimSun" w:eastAsia="SimSun" w:hAnsi="SimSun" w:cs="SimSun"/>
        </w:rPr>
        <w:t>以上专业教师是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双师型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教师，他们教学经验丰富，教学方式先进，科研能力突出。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学院现开设有</w:t>
      </w:r>
      <w:r>
        <w:rPr>
          <w:rFonts w:ascii="Times New Roman" w:eastAsia="Times New Roman" w:hAnsi="Times New Roman" w:cs="Times New Roman"/>
        </w:rPr>
        <w:t xml:space="preserve"> 34</w:t>
      </w:r>
      <w:r>
        <w:rPr>
          <w:rFonts w:ascii="SimSun" w:eastAsia="SimSun" w:hAnsi="SimSun" w:cs="SimSun"/>
        </w:rPr>
        <w:t>个高职专科专业，其中包含两个大类招生，面向重庆、四川、贵州、云南、新疆、广西、西藏、甘肃、青海等多个省、直辖市、自治区招生。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组织机构及监督机制：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成立专门的招生工作领导小组，负责对学校招生工作的领导，讨论决定招生重大事宜。学校纪委、监督部门全程监控招生工作。学校招生工作领导小组下设招生工作办公室，具体负责学校招生工作的组织实施及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各省市招生专业及招生计划详见各省市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年《招考信息合订本》。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学院联系电话、传真、网址等联系方式：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 xml:space="preserve">(023)  81886088 81886099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(023) 81886060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http://www.cqcivc.edu.cn/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邮箱：</w:t>
      </w:r>
      <w:r>
        <w:rPr>
          <w:rFonts w:ascii="Times New Roman" w:eastAsia="Times New Roman" w:hAnsi="Times New Roman" w:cs="Times New Roman"/>
        </w:rPr>
        <w:t xml:space="preserve">cqhgzyxy@163.com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入学外语考试语种的要求：各专业外语语种不限，但一经录取，进校后公共外语一律学英语。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男女生比例：各专业不限制男女生比例。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体检要求：考生必须符合《普通高等学校招生体检工作指导意见》的规定；环境工程技术、工业分析技术、食品检测技术、食品质量与安全和药品质量与安全不招收色盲、色弱及皮肤过敏考生。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：依据教育部最新颁布的《普通高等学校招生工作规定》，本着全面贯彻公平竞争、公正选拔、公开透明的原则，德智体美劳全面考核、综合评价、择优录取录取新生。学院成立以院长李慧民、党委书记范永同为组长的招生录取工作领导小组，同时成立纪委督查小组，以保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招生工作的顺利实施。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、投档以顺序志愿和平行志愿为原则，顺序志愿就是按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分数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进行投档录取，在录取过程中尽量录取填报我院第一志愿的考生，从高分到低分录取。在学院第一志愿录取未满额的情况下，录取第二志愿考生，依此类推。平行志愿则是按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的原则投档录取。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实行专业志愿优先原则，按照专业志愿顺序分专业依次从高分到低分录取，直至完成各专业招生计划；投档成绩相同情况下，再考虑单科成绩、特长等其他因素，择优录取。专业志愿无法满足时，根据学生志愿意向进行调整；不愿调整志愿且又无法满足专业志愿者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、对志愿和成绩相同的考生则综合考虑相关单科成绩及学科竞赛、科技发明创造、文体比赛获奖等因素择优录取。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、对政策加分考生的录取，按照教育部规定的实行属地化管理的原则，执行考生所在省（直辖市、自治区）招生委员会制定的加、降分政策和录取规定。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收费标准：学院严格执行重庆市教委、市财政局、市发展改革委核定的收费标准。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　费：文理科各专业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住宿费：学生公寓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元／学年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人（四人间）或</w:t>
      </w:r>
      <w:r>
        <w:rPr>
          <w:rFonts w:ascii="Times New Roman" w:eastAsia="Times New Roman" w:hAnsi="Times New Roman" w:cs="Times New Roman"/>
        </w:rPr>
        <w:t>950</w:t>
      </w:r>
      <w:r>
        <w:rPr>
          <w:rFonts w:ascii="SimSun" w:eastAsia="SimSun" w:hAnsi="SimSun" w:cs="SimSun"/>
        </w:rPr>
        <w:t>元／学年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人（六人间）。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具体专业收费标准详见各省（直辖市、自治区）招生办公室公布的招考信息。如因故退学或提前结束学业，学校按学生实际学习时间和实际住宿时间，按月计退剩余的学费和住宿费。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学院实行奖贷学金制度，除国家奖助学金外，还设立了学院奖学金。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SimSun" w:eastAsia="SimSun" w:hAnsi="SimSun" w:cs="SimSun"/>
        </w:rPr>
        <w:t>、申请生源地信用助学贷款。凭我院录取通知书，向当地教委（教育局）资助中心申请办理生源地助学贷款，每生每年最高可贷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、申请国家助学金。凡我院贫困生在校读书期间，可以申请国家助学金，全日制普通本专科学生还可享受中央与地方共同设立的国家助学金。具体为一档</w:t>
      </w:r>
      <w:r>
        <w:rPr>
          <w:rFonts w:ascii="Times New Roman" w:eastAsia="Times New Roman" w:hAnsi="Times New Roman" w:cs="Times New Roman"/>
        </w:rPr>
        <w:t>4300</w:t>
      </w:r>
      <w:r>
        <w:rPr>
          <w:rFonts w:ascii="SimSun" w:eastAsia="SimSun" w:hAnsi="SimSun" w:cs="SimSun"/>
        </w:rPr>
        <w:t>元，二档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元，三档</w:t>
      </w:r>
      <w:r>
        <w:rPr>
          <w:rFonts w:ascii="Times New Roman" w:eastAsia="Times New Roman" w:hAnsi="Times New Roman" w:cs="Times New Roman"/>
        </w:rPr>
        <w:t>2300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、优秀学生可以申请国家奖学金，每年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元；品学兼优的贫困学生可申请国家励志奖学金，每年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、申请学院奖学金。特等奖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元、一等奖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元、二等奖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元、三等奖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可享受校内勤工助学、特殊困难补助等。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、学院自强奖学金。特等奖学金</w:t>
      </w:r>
      <w:r>
        <w:rPr>
          <w:rFonts w:ascii="Times New Roman" w:eastAsia="Times New Roman" w:hAnsi="Times New Roman" w:cs="Times New Roman"/>
        </w:rPr>
        <w:t>1250</w:t>
      </w:r>
      <w:r>
        <w:rPr>
          <w:rFonts w:ascii="SimSun" w:eastAsia="SimSun" w:hAnsi="SimSun" w:cs="SimSun"/>
        </w:rPr>
        <w:t>元、一等奖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元、二等奖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元、三等奖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、建卡贫困户资助。正式注册之后，重庆籍学生可申请学费全免，外省籍学生享受当地建卡资助，同时都可申请国家资助。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证书类型：学生修完教学计划规定的全部课程，成绩合格，符合毕业条件，颁发国家承认、经教育部电子注册的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普通专科毕业证书。证书类型为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普通高等教育学历证书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其他须知：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学院从未委托任何中介机构和个人代办招生事宜，有关招生录取工作，请直接与我院招生处联系，否则出现任何后果，我校概不负责。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监督申诉：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监督部门：重庆化工职业学院纪检监察室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人：陈老师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023-81886017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．详细分专业招生计划和填报志愿卡时用的学院代码与专业代码，请考生在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其所在省市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招办统一颁发的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年普通高考招生计划书上查询。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．本招生章程由重庆化工职业学院招生与就业指导处负责解释。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</w:t>
      </w:r>
      <w:r>
        <w:rPr>
          <w:rFonts w:ascii="SimSun" w:eastAsia="SimSun" w:hAnsi="SimSun" w:cs="SimSun"/>
        </w:rPr>
        <w:t>重庆化工职业学院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  2020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3.html" TargetMode="External" /><Relationship Id="rId12" Type="http://schemas.openxmlformats.org/officeDocument/2006/relationships/hyperlink" Target="http://www.gk114.com/a/gxzs/zszc/chongqing/2020/0629/17212.html" TargetMode="External" /><Relationship Id="rId13" Type="http://schemas.openxmlformats.org/officeDocument/2006/relationships/hyperlink" Target="http://www.gk114.com/a/gxzs/zszc/chongqing/2020/0629/17211.html" TargetMode="External" /><Relationship Id="rId14" Type="http://schemas.openxmlformats.org/officeDocument/2006/relationships/hyperlink" Target="http://www.gk114.com/a/gxzs/zszc/chongqing/2020/0629/17210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214.html" TargetMode="External" /><Relationship Id="rId5" Type="http://schemas.openxmlformats.org/officeDocument/2006/relationships/hyperlink" Target="http://www.gk114.com/a/gxzs/zszc/chongqing/2020/0629/17216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