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年艺术类专业招生简章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2023-03-29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根据《教育部办公厅关于做好2023年普通高校部分特殊类型招生工作的通知》（教学厅〔2022〕8号）精神，结合我校实际，特制定本简章。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一、招生专业、省份及计划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招生专业（类）：共8个专业（类），详见附件1。其中，表演、播音与主持艺术、戏剧与影视学类、戏剧影视美术设计4个专业（类）设置在重庆大学美视电影学院（办学地点：重庆大学A校区）；音乐表演、舞蹈表演、设计学类、绘画4个专业（类）设置在重庆大学艺术学院（办学地点：重庆大学虎溪校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2．招生省份及分省分专业计划见附件1。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二、招生对象及条件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1．符合2023年教育部及生源所在省（自治区、直辖市，下同）艺术类专业招生规定，品行端正、身心健康。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2．符合教育部等部委印发的《普通高等学校招生体检工作指导意见》及有关补充规定。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3．报考表演、播音与主持艺术、音乐表演、舞蹈表演专业的考生，需具有良好文化素质与艺术素养，且五官端正、口齿清晰、听力正常、形象气质佳，无生理缺陷。其中：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（1）报考表演、播音与主持艺术专业的考生，男性身高须达到170厘米及以上，女性身高须达到160厘米及以上；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（2）报考音乐表演、舞蹈表演专业的考生，男性身高须达到175厘米及以上，女性身高须达到165厘米及以上。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4．我校音乐表演专业原则上只招收美声、民族、流行唱法考生；舞蹈表演专业原则上只招收民族舞、古典舞考生，不招收芭蕾舞、街舞、体育舞蹈考生。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5．报考我校艺术类相关专业的考生，须参加高考所在省级招生考试机构统一组织的相应类别专业省级统考（或联考，以下统称“统考”），且须达到统考本科合格线及以上。各专业各省统考对应科类表见附件2。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三、录取条件及原则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录取文化成绩最低要求：考生须参加普通高等学校招生全国统一考试，各专业高考文化成绩（含政策性加分，下同）须达到如下要求：</w:t>
      </w:r>
    </w:p>
    <w:tbl>
      <w:tblPr>
        <w:tblW w:w="11820" w:type="dxa"/>
        <w:jc w:val="center"/>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3334"/>
        <w:gridCol w:w="8366"/>
      </w:tblGrid>
      <w:tr>
        <w:tblPrEx>
          <w:tblW w:w="11820" w:type="dxa"/>
          <w:jc w:val="center"/>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10"/>
          <w:jc w:val="center"/>
        </w:trPr>
        <w:tc>
          <w:tcPr>
            <w:tcW w:w="273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bCs/>
                <w:i w:val="0"/>
                <w:iCs w:val="0"/>
                <w:smallCaps w:val="0"/>
                <w:color w:val="555555"/>
                <w:sz w:val="29"/>
                <w:szCs w:val="29"/>
              </w:rPr>
              <w:t>招生专业（类）</w:t>
            </w:r>
          </w:p>
        </w:tc>
        <w:tc>
          <w:tcPr>
            <w:tcW w:w="727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bCs/>
                <w:i w:val="0"/>
                <w:iCs w:val="0"/>
                <w:smallCaps w:val="0"/>
                <w:color w:val="555555"/>
                <w:sz w:val="29"/>
                <w:szCs w:val="29"/>
              </w:rPr>
              <w:t>录取文化成绩最低要求</w:t>
            </w:r>
          </w:p>
        </w:tc>
      </w:tr>
      <w:tr>
        <w:tblPrEx>
          <w:tblW w:w="11820" w:type="dxa"/>
          <w:jc w:val="center"/>
          <w:tblInd w:w="165" w:type="dxa"/>
          <w:tblCellMar>
            <w:top w:w="0" w:type="dxa"/>
            <w:left w:w="0" w:type="dxa"/>
            <w:bottom w:w="0" w:type="dxa"/>
            <w:right w:w="0" w:type="dxa"/>
          </w:tblCellMar>
        </w:tblPrEx>
        <w:trPr>
          <w:trHeight w:val="510"/>
          <w:jc w:val="center"/>
        </w:trPr>
        <w:tc>
          <w:tcPr>
            <w:tcW w:w="2730"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音乐表演</w:t>
            </w:r>
          </w:p>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舞蹈表演</w:t>
            </w:r>
          </w:p>
        </w:tc>
        <w:tc>
          <w:tcPr>
            <w:tcW w:w="7275"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生源所在省艺术类相应专业本科控制分数线</w:t>
            </w:r>
          </w:p>
        </w:tc>
      </w:tr>
      <w:tr>
        <w:tblPrEx>
          <w:tblW w:w="11820" w:type="dxa"/>
          <w:jc w:val="center"/>
          <w:tblInd w:w="165" w:type="dxa"/>
          <w:tblCellMar>
            <w:top w:w="0" w:type="dxa"/>
            <w:left w:w="0" w:type="dxa"/>
            <w:bottom w:w="0" w:type="dxa"/>
            <w:right w:w="0" w:type="dxa"/>
          </w:tblCellMar>
        </w:tblPrEx>
        <w:trPr>
          <w:trHeight w:val="510"/>
          <w:jc w:val="center"/>
        </w:trPr>
        <w:tc>
          <w:tcPr>
            <w:tcW w:w="2730"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表演</w:t>
            </w:r>
          </w:p>
        </w:tc>
        <w:tc>
          <w:tcPr>
            <w:tcW w:w="7275"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生源所在省艺术类相应专业本科控制分数线</w:t>
            </w:r>
            <w:r>
              <w:rPr>
                <w:rFonts w:ascii="Microsoft YaHei" w:eastAsia="Microsoft YaHei" w:hAnsi="Microsoft YaHei" w:cs="Microsoft YaHei"/>
                <w:b w:val="0"/>
                <w:bCs w:val="0"/>
                <w:i w:val="0"/>
                <w:iCs w:val="0"/>
                <w:smallCaps w:val="0"/>
                <w:color w:val="555555"/>
                <w:sz w:val="29"/>
                <w:szCs w:val="29"/>
              </w:rPr>
              <w:t>上</w:t>
            </w:r>
            <w:r>
              <w:rPr>
                <w:rFonts w:ascii="Microsoft YaHei" w:eastAsia="Microsoft YaHei" w:hAnsi="Microsoft YaHei" w:cs="Microsoft YaHei"/>
                <w:b w:val="0"/>
                <w:bCs w:val="0"/>
                <w:i w:val="0"/>
                <w:iCs w:val="0"/>
                <w:smallCaps w:val="0"/>
                <w:color w:val="555555"/>
                <w:sz w:val="29"/>
                <w:szCs w:val="29"/>
              </w:rPr>
              <w:t>20分</w:t>
            </w:r>
          </w:p>
        </w:tc>
      </w:tr>
      <w:tr>
        <w:tblPrEx>
          <w:tblW w:w="11820" w:type="dxa"/>
          <w:jc w:val="center"/>
          <w:tblInd w:w="165" w:type="dxa"/>
          <w:tblCellMar>
            <w:top w:w="0" w:type="dxa"/>
            <w:left w:w="0" w:type="dxa"/>
            <w:bottom w:w="0" w:type="dxa"/>
            <w:right w:w="0" w:type="dxa"/>
          </w:tblCellMar>
        </w:tblPrEx>
        <w:trPr>
          <w:trHeight w:val="510"/>
          <w:jc w:val="center"/>
        </w:trPr>
        <w:tc>
          <w:tcPr>
            <w:tcW w:w="2730"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设计学类</w:t>
            </w:r>
          </w:p>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绘画</w:t>
            </w:r>
          </w:p>
        </w:tc>
        <w:tc>
          <w:tcPr>
            <w:tcW w:w="7275"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生源所在省第一批本科录取控制分数线</w:t>
            </w:r>
            <w:r>
              <w:rPr>
                <w:rFonts w:ascii="Microsoft YaHei" w:eastAsia="Microsoft YaHei" w:hAnsi="Microsoft YaHei" w:cs="Microsoft YaHei"/>
                <w:b w:val="0"/>
                <w:bCs w:val="0"/>
                <w:i w:val="0"/>
                <w:iCs w:val="0"/>
                <w:smallCaps w:val="0"/>
                <w:color w:val="555555"/>
                <w:sz w:val="29"/>
                <w:szCs w:val="29"/>
              </w:rPr>
              <w:t>的</w:t>
            </w:r>
            <w:r>
              <w:rPr>
                <w:rFonts w:ascii="Microsoft YaHei" w:eastAsia="Microsoft YaHei" w:hAnsi="Microsoft YaHei" w:cs="Microsoft YaHei"/>
                <w:b w:val="0"/>
                <w:bCs w:val="0"/>
                <w:i w:val="0"/>
                <w:iCs w:val="0"/>
                <w:smallCaps w:val="0"/>
                <w:color w:val="555555"/>
                <w:sz w:val="29"/>
                <w:szCs w:val="29"/>
              </w:rPr>
              <w:t>80%（四舍五入后取整作为评判标准）且不低于</w:t>
            </w:r>
            <w:r>
              <w:rPr>
                <w:rFonts w:ascii="FangSong" w:eastAsia="FangSong" w:hAnsi="FangSong" w:cs="FangSong"/>
                <w:b w:val="0"/>
                <w:bCs w:val="0"/>
                <w:i w:val="0"/>
                <w:iCs w:val="0"/>
                <w:smallCaps w:val="0"/>
                <w:color w:val="555555"/>
                <w:sz w:val="29"/>
                <w:szCs w:val="29"/>
              </w:rPr>
              <w:t>艺术类相应专业本科控制分数线</w:t>
            </w:r>
          </w:p>
        </w:tc>
      </w:tr>
      <w:tr>
        <w:tblPrEx>
          <w:tblW w:w="11820" w:type="dxa"/>
          <w:jc w:val="center"/>
          <w:tblInd w:w="165" w:type="dxa"/>
          <w:tblCellMar>
            <w:top w:w="0" w:type="dxa"/>
            <w:left w:w="0" w:type="dxa"/>
            <w:bottom w:w="0" w:type="dxa"/>
            <w:right w:w="0" w:type="dxa"/>
          </w:tblCellMar>
        </w:tblPrEx>
        <w:trPr>
          <w:trHeight w:val="90"/>
          <w:jc w:val="center"/>
        </w:trPr>
        <w:tc>
          <w:tcPr>
            <w:tcW w:w="2730"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播音与主持艺术</w:t>
            </w:r>
          </w:p>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戏剧与影视学类</w:t>
            </w:r>
          </w:p>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戏剧影视美术设计</w:t>
            </w:r>
          </w:p>
        </w:tc>
        <w:tc>
          <w:tcPr>
            <w:tcW w:w="7275"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生源所在省第一批本科录取控制分数线</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4C4C4C"/>
                <w:sz w:val="20"/>
                <w:szCs w:val="20"/>
              </w:rPr>
            </w:pPr>
            <w:r>
              <w:rPr>
                <w:rFonts w:ascii="Microsoft YaHei" w:eastAsia="Microsoft YaHei" w:hAnsi="Microsoft YaHei" w:cs="Microsoft YaHei"/>
                <w:b w:val="0"/>
                <w:bCs w:val="0"/>
                <w:i w:val="0"/>
                <w:iCs w:val="0"/>
                <w:smallCaps w:val="0"/>
                <w:color w:val="4C4C4C"/>
                <w:sz w:val="20"/>
                <w:szCs w:val="20"/>
              </w:rPr>
              <w:t xml:space="preserve">  </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录取原则：对各省依照省级招生考试机构投档规则投档进我校的、且符合招生条件及录取最低文化成绩要求的考生，按照下列原则进行录取：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1．实行平行志愿的省份，按照投档成绩从高到低排序择优录取。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2．实行非平行志愿的省份，按照以下原则录取：</w:t>
      </w:r>
    </w:p>
    <w:tbl>
      <w:tblPr>
        <w:tblW w:w="11820" w:type="dxa"/>
        <w:jc w:val="center"/>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710"/>
        <w:gridCol w:w="9670"/>
      </w:tblGrid>
      <w:tr>
        <w:tblPrEx>
          <w:tblW w:w="11820" w:type="dxa"/>
          <w:jc w:val="center"/>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10"/>
          <w:jc w:val="center"/>
        </w:trPr>
        <w:tc>
          <w:tcPr>
            <w:tcW w:w="273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bCs/>
                <w:i w:val="0"/>
                <w:iCs w:val="0"/>
                <w:smallCaps w:val="0"/>
                <w:color w:val="555555"/>
                <w:sz w:val="29"/>
                <w:szCs w:val="29"/>
              </w:rPr>
              <w:t>招生专业（类）</w:t>
            </w:r>
          </w:p>
        </w:tc>
        <w:tc>
          <w:tcPr>
            <w:tcW w:w="727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bCs/>
                <w:i w:val="0"/>
                <w:iCs w:val="0"/>
                <w:smallCaps w:val="0"/>
                <w:color w:val="555555"/>
                <w:sz w:val="29"/>
                <w:szCs w:val="29"/>
              </w:rPr>
              <w:t>录取原则</w:t>
            </w:r>
          </w:p>
        </w:tc>
      </w:tr>
      <w:tr>
        <w:tblPrEx>
          <w:tblW w:w="11820" w:type="dxa"/>
          <w:jc w:val="center"/>
          <w:tblInd w:w="165" w:type="dxa"/>
          <w:tblCellMar>
            <w:top w:w="0" w:type="dxa"/>
            <w:left w:w="0" w:type="dxa"/>
            <w:bottom w:w="0" w:type="dxa"/>
            <w:right w:w="0" w:type="dxa"/>
          </w:tblCellMar>
        </w:tblPrEx>
        <w:trPr>
          <w:trHeight w:val="510"/>
          <w:jc w:val="center"/>
        </w:trPr>
        <w:tc>
          <w:tcPr>
            <w:tcW w:w="2730"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表演</w:t>
            </w:r>
          </w:p>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播音与主持艺术</w:t>
            </w:r>
          </w:p>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音乐表演</w:t>
            </w:r>
          </w:p>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舞蹈表演</w:t>
            </w:r>
          </w:p>
        </w:tc>
        <w:tc>
          <w:tcPr>
            <w:tcW w:w="7275"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按照</w:t>
            </w:r>
            <w:r>
              <w:rPr>
                <w:rFonts w:ascii="FangSong" w:eastAsia="FangSong" w:hAnsi="FangSong" w:cs="FangSong"/>
                <w:b/>
                <w:bCs/>
                <w:i w:val="0"/>
                <w:iCs w:val="0"/>
                <w:smallCaps w:val="0"/>
                <w:color w:val="555555"/>
                <w:sz w:val="29"/>
                <w:szCs w:val="29"/>
              </w:rPr>
              <w:t>专业</w:t>
            </w:r>
            <w:r>
              <w:rPr>
                <w:rFonts w:ascii="FangSong" w:eastAsia="FangSong" w:hAnsi="FangSong" w:cs="FangSong"/>
                <w:b/>
                <w:bCs/>
                <w:i w:val="0"/>
                <w:iCs w:val="0"/>
                <w:smallCaps w:val="0"/>
                <w:color w:val="555555"/>
                <w:sz w:val="29"/>
                <w:szCs w:val="29"/>
              </w:rPr>
              <w:t>统考</w:t>
            </w:r>
            <w:r>
              <w:rPr>
                <w:rFonts w:ascii="FangSong" w:eastAsia="FangSong" w:hAnsi="FangSong" w:cs="FangSong"/>
                <w:b/>
                <w:bCs/>
                <w:i w:val="0"/>
                <w:iCs w:val="0"/>
                <w:smallCaps w:val="0"/>
                <w:color w:val="555555"/>
                <w:sz w:val="29"/>
                <w:szCs w:val="29"/>
              </w:rPr>
              <w:t>成绩</w:t>
            </w:r>
            <w:r>
              <w:rPr>
                <w:rFonts w:ascii="FangSong" w:eastAsia="FangSong" w:hAnsi="FangSong" w:cs="FangSong"/>
                <w:b w:val="0"/>
                <w:bCs w:val="0"/>
                <w:i w:val="0"/>
                <w:iCs w:val="0"/>
                <w:smallCaps w:val="0"/>
                <w:color w:val="555555"/>
                <w:sz w:val="29"/>
                <w:szCs w:val="29"/>
              </w:rPr>
              <w:t>从高到</w:t>
            </w:r>
            <w:r>
              <w:rPr>
                <w:rFonts w:ascii="FangSong" w:eastAsia="FangSong" w:hAnsi="FangSong" w:cs="FangSong"/>
                <w:b w:val="0"/>
                <w:bCs w:val="0"/>
                <w:i w:val="0"/>
                <w:iCs w:val="0"/>
                <w:smallCaps w:val="0"/>
                <w:color w:val="555555"/>
                <w:sz w:val="29"/>
                <w:szCs w:val="29"/>
              </w:rPr>
              <w:t>低</w:t>
            </w:r>
            <w:r>
              <w:rPr>
                <w:rFonts w:ascii="FangSong" w:eastAsia="FangSong" w:hAnsi="FangSong" w:cs="FangSong"/>
                <w:b w:val="0"/>
                <w:bCs w:val="0"/>
                <w:i w:val="0"/>
                <w:iCs w:val="0"/>
                <w:smallCaps w:val="0"/>
                <w:color w:val="555555"/>
                <w:sz w:val="29"/>
                <w:szCs w:val="29"/>
              </w:rPr>
              <w:t>排序择优录取；</w:t>
            </w:r>
            <w:r>
              <w:rPr>
                <w:rFonts w:ascii="FangSong" w:eastAsia="FangSong" w:hAnsi="FangSong" w:cs="FangSong"/>
                <w:b w:val="0"/>
                <w:bCs w:val="0"/>
                <w:i w:val="0"/>
                <w:iCs w:val="0"/>
                <w:smallCaps w:val="0"/>
                <w:color w:val="555555"/>
                <w:sz w:val="29"/>
                <w:szCs w:val="29"/>
              </w:rPr>
              <w:t>专业统考成绩相同时，优先录取高考文化成绩高者</w:t>
            </w:r>
          </w:p>
        </w:tc>
      </w:tr>
      <w:tr>
        <w:tblPrEx>
          <w:tblW w:w="11820" w:type="dxa"/>
          <w:jc w:val="center"/>
          <w:tblInd w:w="165" w:type="dxa"/>
          <w:tblCellMar>
            <w:top w:w="0" w:type="dxa"/>
            <w:left w:w="0" w:type="dxa"/>
            <w:bottom w:w="0" w:type="dxa"/>
            <w:right w:w="0" w:type="dxa"/>
          </w:tblCellMar>
        </w:tblPrEx>
        <w:trPr>
          <w:trHeight w:val="510"/>
          <w:jc w:val="center"/>
        </w:trPr>
        <w:tc>
          <w:tcPr>
            <w:tcW w:w="2730"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戏剧与影视学类</w:t>
            </w:r>
          </w:p>
        </w:tc>
        <w:tc>
          <w:tcPr>
            <w:tcW w:w="7275"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按照</w:t>
            </w:r>
            <w:r>
              <w:rPr>
                <w:rFonts w:ascii="FangSong" w:eastAsia="FangSong" w:hAnsi="FangSong" w:cs="FangSong"/>
                <w:b/>
                <w:bCs/>
                <w:i w:val="0"/>
                <w:iCs w:val="0"/>
                <w:smallCaps w:val="0"/>
                <w:color w:val="555555"/>
                <w:sz w:val="29"/>
                <w:szCs w:val="29"/>
              </w:rPr>
              <w:t>高考文化成绩</w:t>
            </w:r>
            <w:r>
              <w:rPr>
                <w:rFonts w:ascii="FangSong" w:eastAsia="FangSong" w:hAnsi="FangSong" w:cs="FangSong"/>
                <w:b w:val="0"/>
                <w:bCs w:val="0"/>
                <w:i w:val="0"/>
                <w:iCs w:val="0"/>
                <w:smallCaps w:val="0"/>
                <w:color w:val="555555"/>
                <w:sz w:val="29"/>
                <w:szCs w:val="29"/>
              </w:rPr>
              <w:t>从高到</w:t>
            </w:r>
            <w:r>
              <w:rPr>
                <w:rFonts w:ascii="FangSong" w:eastAsia="FangSong" w:hAnsi="FangSong" w:cs="FangSong"/>
                <w:b w:val="0"/>
                <w:bCs w:val="0"/>
                <w:i w:val="0"/>
                <w:iCs w:val="0"/>
                <w:smallCaps w:val="0"/>
                <w:color w:val="555555"/>
                <w:sz w:val="29"/>
                <w:szCs w:val="29"/>
              </w:rPr>
              <w:t>低</w:t>
            </w:r>
            <w:r>
              <w:rPr>
                <w:rFonts w:ascii="FangSong" w:eastAsia="FangSong" w:hAnsi="FangSong" w:cs="FangSong"/>
                <w:b w:val="0"/>
                <w:bCs w:val="0"/>
                <w:i w:val="0"/>
                <w:iCs w:val="0"/>
                <w:smallCaps w:val="0"/>
                <w:color w:val="555555"/>
                <w:sz w:val="29"/>
                <w:szCs w:val="29"/>
              </w:rPr>
              <w:t>排序择优录取；</w:t>
            </w:r>
            <w:r>
              <w:rPr>
                <w:rFonts w:ascii="FangSong" w:eastAsia="FangSong" w:hAnsi="FangSong" w:cs="FangSong"/>
                <w:b w:val="0"/>
                <w:bCs w:val="0"/>
                <w:i w:val="0"/>
                <w:iCs w:val="0"/>
                <w:smallCaps w:val="0"/>
                <w:color w:val="555555"/>
                <w:sz w:val="29"/>
                <w:szCs w:val="29"/>
              </w:rPr>
              <w:t>高考文化成绩相同时，优先录取专业统考成绩高者</w:t>
            </w:r>
          </w:p>
        </w:tc>
      </w:tr>
      <w:tr>
        <w:tblPrEx>
          <w:tblW w:w="11820" w:type="dxa"/>
          <w:jc w:val="center"/>
          <w:tblInd w:w="165" w:type="dxa"/>
          <w:tblCellMar>
            <w:top w:w="0" w:type="dxa"/>
            <w:left w:w="0" w:type="dxa"/>
            <w:bottom w:w="0" w:type="dxa"/>
            <w:right w:w="0" w:type="dxa"/>
          </w:tblCellMar>
        </w:tblPrEx>
        <w:trPr>
          <w:trHeight w:val="510"/>
          <w:jc w:val="center"/>
        </w:trPr>
        <w:tc>
          <w:tcPr>
            <w:tcW w:w="2730"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设计学类</w:t>
            </w:r>
          </w:p>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绘画</w:t>
            </w:r>
          </w:p>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戏剧影视美术设计</w:t>
            </w:r>
          </w:p>
        </w:tc>
        <w:tc>
          <w:tcPr>
            <w:tcW w:w="7275" w:type="dxa"/>
            <w:tcBorders>
              <w:top w:val="single" w:sz="24" w:space="0" w:color="auto"/>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68" w:line="332" w:lineRule="atLeast"/>
              <w:ind w:left="0" w:right="0"/>
              <w:jc w:val="center"/>
              <w:rPr>
                <w:rFonts w:ascii="Microsoft YaHei" w:eastAsia="Microsoft YaHei" w:hAnsi="Microsoft YaHei" w:cs="Microsoft YaHei"/>
                <w:b w:val="0"/>
                <w:bCs w:val="0"/>
                <w:i w:val="0"/>
                <w:iCs w:val="0"/>
                <w:smallCaps w:val="0"/>
                <w:color w:val="555555"/>
                <w:sz w:val="20"/>
                <w:szCs w:val="20"/>
              </w:rPr>
            </w:pPr>
            <w:r>
              <w:rPr>
                <w:rFonts w:ascii="FangSong" w:eastAsia="FangSong" w:hAnsi="FangSong" w:cs="FangSong"/>
                <w:b w:val="0"/>
                <w:bCs w:val="0"/>
                <w:i w:val="0"/>
                <w:iCs w:val="0"/>
                <w:smallCaps w:val="0"/>
                <w:color w:val="555555"/>
                <w:sz w:val="29"/>
                <w:szCs w:val="29"/>
              </w:rPr>
              <w:t>按照</w:t>
            </w:r>
            <w:r>
              <w:rPr>
                <w:rFonts w:ascii="FangSong" w:eastAsia="FangSong" w:hAnsi="FangSong" w:cs="FangSong"/>
                <w:b/>
                <w:bCs/>
                <w:i w:val="0"/>
                <w:iCs w:val="0"/>
                <w:smallCaps w:val="0"/>
                <w:color w:val="555555"/>
                <w:sz w:val="29"/>
                <w:szCs w:val="29"/>
              </w:rPr>
              <w:t>综合成绩</w:t>
            </w:r>
            <w:r>
              <w:rPr>
                <w:rFonts w:ascii="FangSong" w:eastAsia="FangSong" w:hAnsi="FangSong" w:cs="FangSong"/>
                <w:b w:val="0"/>
                <w:bCs w:val="0"/>
                <w:i w:val="0"/>
                <w:iCs w:val="0"/>
                <w:smallCaps w:val="0"/>
                <w:color w:val="555555"/>
                <w:sz w:val="29"/>
                <w:szCs w:val="29"/>
              </w:rPr>
              <w:t>【综合成绩＝（专业统考成绩</w:t>
            </w:r>
            <w:r>
              <w:rPr>
                <w:b w:val="0"/>
                <w:bCs w:val="0"/>
                <w:i w:val="0"/>
                <w:iCs w:val="0"/>
                <w:smallCaps w:val="0"/>
                <w:color w:val="555555"/>
                <w:sz w:val="29"/>
                <w:szCs w:val="29"/>
              </w:rPr>
              <w:t>/</w:t>
            </w:r>
            <w:r>
              <w:rPr>
                <w:rFonts w:ascii="FangSong" w:eastAsia="FangSong" w:hAnsi="FangSong" w:cs="FangSong"/>
                <w:b w:val="0"/>
                <w:bCs w:val="0"/>
                <w:i w:val="0"/>
                <w:iCs w:val="0"/>
                <w:smallCaps w:val="0"/>
                <w:color w:val="555555"/>
                <w:sz w:val="29"/>
                <w:szCs w:val="29"/>
              </w:rPr>
              <w:t>专业统考满分）</w:t>
            </w:r>
            <w:r>
              <w:rPr>
                <w:rFonts w:ascii="Microsoft YaHei" w:eastAsia="Microsoft YaHei" w:hAnsi="Microsoft YaHei" w:cs="Microsoft YaHei"/>
                <w:b w:val="0"/>
                <w:bCs w:val="0"/>
                <w:i w:val="0"/>
                <w:iCs w:val="0"/>
                <w:smallCaps w:val="0"/>
                <w:color w:val="555555"/>
                <w:sz w:val="29"/>
                <w:szCs w:val="29"/>
              </w:rPr>
              <w:t>×50+</w:t>
            </w:r>
            <w:r>
              <w:rPr>
                <w:rFonts w:ascii="FangSong" w:eastAsia="FangSong" w:hAnsi="FangSong" w:cs="FangSong"/>
                <w:b w:val="0"/>
                <w:bCs w:val="0"/>
                <w:i w:val="0"/>
                <w:iCs w:val="0"/>
                <w:smallCaps w:val="0"/>
                <w:color w:val="555555"/>
                <w:sz w:val="29"/>
                <w:szCs w:val="29"/>
              </w:rPr>
              <w:t>（高考</w:t>
            </w:r>
            <w:r>
              <w:rPr>
                <w:rFonts w:ascii="FangSong" w:eastAsia="FangSong" w:hAnsi="FangSong" w:cs="FangSong"/>
                <w:b w:val="0"/>
                <w:bCs w:val="0"/>
                <w:i w:val="0"/>
                <w:iCs w:val="0"/>
                <w:smallCaps w:val="0"/>
                <w:color w:val="555555"/>
                <w:sz w:val="29"/>
                <w:szCs w:val="29"/>
              </w:rPr>
              <w:t>文化</w:t>
            </w:r>
            <w:r>
              <w:rPr>
                <w:rFonts w:ascii="FangSong" w:eastAsia="FangSong" w:hAnsi="FangSong" w:cs="FangSong"/>
                <w:b w:val="0"/>
                <w:bCs w:val="0"/>
                <w:i w:val="0"/>
                <w:iCs w:val="0"/>
                <w:smallCaps w:val="0"/>
                <w:color w:val="555555"/>
                <w:sz w:val="29"/>
                <w:szCs w:val="29"/>
              </w:rPr>
              <w:t>成绩</w:t>
            </w:r>
            <w:r>
              <w:rPr>
                <w:b w:val="0"/>
                <w:bCs w:val="0"/>
                <w:i w:val="0"/>
                <w:iCs w:val="0"/>
                <w:smallCaps w:val="0"/>
                <w:color w:val="555555"/>
                <w:sz w:val="29"/>
                <w:szCs w:val="29"/>
              </w:rPr>
              <w:t>/</w:t>
            </w:r>
            <w:r>
              <w:rPr>
                <w:rFonts w:ascii="FangSong" w:eastAsia="FangSong" w:hAnsi="FangSong" w:cs="FangSong"/>
                <w:b w:val="0"/>
                <w:bCs w:val="0"/>
                <w:i w:val="0"/>
                <w:iCs w:val="0"/>
                <w:smallCaps w:val="0"/>
                <w:color w:val="555555"/>
                <w:sz w:val="29"/>
                <w:szCs w:val="29"/>
              </w:rPr>
              <w:t>高考文化满分）</w:t>
            </w:r>
            <w:r>
              <w:rPr>
                <w:rFonts w:ascii="Microsoft YaHei" w:eastAsia="Microsoft YaHei" w:hAnsi="Microsoft YaHei" w:cs="Microsoft YaHei"/>
                <w:b w:val="0"/>
                <w:bCs w:val="0"/>
                <w:i w:val="0"/>
                <w:iCs w:val="0"/>
                <w:smallCaps w:val="0"/>
                <w:color w:val="555555"/>
                <w:sz w:val="29"/>
                <w:szCs w:val="29"/>
              </w:rPr>
              <w:t>×50</w:t>
            </w:r>
            <w:r>
              <w:rPr>
                <w:rFonts w:ascii="FangSong" w:eastAsia="FangSong" w:hAnsi="FangSong" w:cs="FangSong"/>
                <w:b w:val="0"/>
                <w:bCs w:val="0"/>
                <w:i w:val="0"/>
                <w:iCs w:val="0"/>
                <w:smallCaps w:val="0"/>
                <w:color w:val="555555"/>
                <w:sz w:val="29"/>
                <w:szCs w:val="29"/>
              </w:rPr>
              <w:t>】从高到低排序择优录取；综合成绩相同时，优先录取专业统考成绩高者</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4C4C4C"/>
                <w:sz w:val="20"/>
                <w:szCs w:val="20"/>
              </w:rPr>
            </w:pPr>
            <w:r>
              <w:rPr>
                <w:rFonts w:ascii="Microsoft YaHei" w:eastAsia="Microsoft YaHei" w:hAnsi="Microsoft YaHei" w:cs="Microsoft YaHei"/>
                <w:b w:val="0"/>
                <w:bCs w:val="0"/>
                <w:i w:val="0"/>
                <w:iCs w:val="0"/>
                <w:smallCaps w:val="0"/>
                <w:color w:val="4C4C4C"/>
                <w:sz w:val="20"/>
                <w:szCs w:val="20"/>
              </w:rPr>
              <w:t xml:space="preserve">  </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于严格区分艺术（文）/艺术（历史科目组）、艺术（理）/艺术（物理科目组）的省份，录取时我校根据分省分专业计划分科类排序录取；未严格区分艺术（文）/艺术（历史科目组）、艺术（理）/艺术（物理科目组）的省份，我校根据分省分专业计划按照艺术类统一排序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四、有关说明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1．对于实施高考综合改革及合并本科批次的省份，第一批本科录取控制分数线参照生源省份相应特殊类型控制分数线执行。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2．考生身高以省级招生考试机构投档时提供的高考体检信息表上的身高数据为唯一评判依据。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3．艺术类专业录取的学生，入学后不得转入非艺术类专业。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4．艺术类专业在“3+3”高考综合改革省份的选考科目要求为不限，在“3+1+2”高考综合改革省份的选考科目要求为首选科目物理或历史均可，再选科目不限。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重庆大学艺术类招生录取工作在学校本科招生工作领导小组领导下开展，接受学校纪检监察机构监督及社会监督。在艺术类招生过程中，若发现违规违纪违法行为，请联系学校纪检监察机构，投诉举报方式：023-65106714，cqujw@cq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6．新生入学报到后，学校将按照教育部相关规定对其进行入学资格复查和专业复测。凡复查复测不符合条件或有舞弊行为者，将取消其入学资格，并按相关规定处理。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7．本简章解释权属重庆大学招生办公室。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8．本简章公布后，若教育部（或生源所在省级招生考试机构）相关政策有调整，学校将按调整后的政策执行。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重庆大学招生办公室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办公地点：重庆大学A校区行政楼一楼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咨询电话：023-65102371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招生网址：https://zhaosheng.cqu.edu.cn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微信公众平台：重庆大学本科招生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邮箱：zhaosheng@cqu.edu.cn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相关学院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美视电影学院咨询电话：023-65106258、65106375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美视电影学院网址：http://www.msfilm.cqu.edu.cn/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艺术学院咨询电话：023-65678201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艺术学院网址：http://www.arts.cqu.edu.cn/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4" w:history="1">
        <w:r>
          <w:rPr>
            <w:rFonts w:ascii="Microsoft YaHei" w:eastAsia="Microsoft YaHei" w:hAnsi="Microsoft YaHei" w:cs="Microsoft YaHei"/>
            <w:color w:val="2440B3"/>
            <w:u w:val="single" w:color="2440B3"/>
          </w:rPr>
          <w:t>1．重庆大学2023年艺术类专业分省分专业计划</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5" w:history="1">
        <w:r>
          <w:rPr>
            <w:rFonts w:ascii="Microsoft YaHei" w:eastAsia="Microsoft YaHei" w:hAnsi="Microsoft YaHei" w:cs="Microsoft YaHei"/>
            <w:color w:val="2440B3"/>
            <w:u w:val="single" w:color="2440B3"/>
          </w:rPr>
          <w:t>2．各专业各省统考对应科类表</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重庆大学招生办公室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2023年3月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4.html" TargetMode="External" /><Relationship Id="rId11" Type="http://schemas.openxmlformats.org/officeDocument/2006/relationships/hyperlink" Target="http://www.gk114.com/a/gxzs/zszc/chongqing/2020/0721/17452.html" TargetMode="External" /><Relationship Id="rId12" Type="http://schemas.openxmlformats.org/officeDocument/2006/relationships/hyperlink" Target="http://www.gk114.com/a/gxzs/zszc/chongqing/2020/0721/17451.html" TargetMode="External" /><Relationship Id="rId13" Type="http://schemas.openxmlformats.org/officeDocument/2006/relationships/hyperlink" Target="http://www.gk114.com/a/gxzs/zszc/chongqing/2020/0721/17450.html" TargetMode="External" /><Relationship Id="rId14" Type="http://schemas.openxmlformats.org/officeDocument/2006/relationships/hyperlink" Target="http://www.gk114.com/a/gxzs/zszc/chongqing/2020/0721/17449.html" TargetMode="External" /><Relationship Id="rId15" Type="http://schemas.openxmlformats.org/officeDocument/2006/relationships/hyperlink" Target="http://www.gk114.com/a/gxzs/zszc/chongqing/2020/0721/17448.html" TargetMode="External" /><Relationship Id="rId16" Type="http://schemas.openxmlformats.org/officeDocument/2006/relationships/hyperlink" Target="http://www.gk114.com/a/gxzs/zszc/chongqing/2020/0717/1743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zhaosheng.cqu.edu.cn/contents/upload/public/news/accessory/1_177/20230328/%E9%87%8D%E5%BA%86%E5%A4%A7%E5%AD%A62023%E5%B9%B4%E8%89%BA%E6%9C%AF%E7%B1%BB%E4%B8%93%E4%B8%9A%E5%88%86%E7%9C%81%E5%88%86%E4%B8%93%E4%B8%9A%E8%AE%A1%E5%88%92.pdf" TargetMode="External" /><Relationship Id="rId5" Type="http://schemas.openxmlformats.org/officeDocument/2006/relationships/hyperlink" Target="https://zhaosheng.cqu.edu.cn/contents/upload/public/news/accessory/1_177/20230328/%E5%90%84%E4%B8%93%E4%B8%9A%E5%90%84%E7%9C%81%E7%BB%9F%E8%80%83%E5%AF%B9%E5%BA%94%E7%A7%91%E7%B1%BB%E8%A1%A8.pdf" TargetMode="External" /><Relationship Id="rId6" Type="http://schemas.openxmlformats.org/officeDocument/2006/relationships/hyperlink" Target="http://www.gk114.com/a/gxzs/zszc/chongqing/2022/0328/21993.html" TargetMode="External" /><Relationship Id="rId7" Type="http://schemas.openxmlformats.org/officeDocument/2006/relationships/hyperlink" Target="http://www.gk114.com/a/gxzs/zszc/chongqing/2023/0407/26477.html" TargetMode="External" /><Relationship Id="rId8" Type="http://schemas.openxmlformats.org/officeDocument/2006/relationships/hyperlink" Target="http://www.gk114.com/a/gxzs/zszc/chongqing/" TargetMode="External" /><Relationship Id="rId9" Type="http://schemas.openxmlformats.org/officeDocument/2006/relationships/hyperlink" Target="http://www.gk114.com/a/gxzs/zszc/chongqing/2022/0303/218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