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重庆工业职业技术学院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规范招生工作，切实维护学校和考生的合法权益，确保学校招生工作顺利进行，根据《中华人民共和国教育法》《中华人民共和国高等教育法》、《重庆工业职业技术学院章程》和教育主管部门有关政策和规定，结合重庆工业职业技术学院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本章程适用于重庆工业职业技术学院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年普通专科（高职）招生工作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高职分类考试招生另定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学校全称：重庆工业职业技术学院（学校代码：</w:t>
      </w:r>
      <w:r>
        <w:rPr>
          <w:rFonts w:ascii="Times New Roman" w:eastAsia="Times New Roman" w:hAnsi="Times New Roman" w:cs="Times New Roman"/>
        </w:rPr>
        <w:t>12215</w:t>
      </w:r>
      <w:r>
        <w:rPr>
          <w:rFonts w:ascii="SimSun" w:eastAsia="SimSun" w:hAnsi="SimSun" w:cs="SimSun"/>
        </w:rPr>
        <w:t>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办学地点：重庆市渝北区（空港）桃源大道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号（邮编：</w:t>
      </w:r>
      <w:r>
        <w:rPr>
          <w:rFonts w:ascii="Times New Roman" w:eastAsia="Times New Roman" w:hAnsi="Times New Roman" w:cs="Times New Roman"/>
        </w:rPr>
        <w:t>401120</w:t>
      </w:r>
      <w:r>
        <w:rPr>
          <w:rFonts w:ascii="SimSun" w:eastAsia="SimSun" w:hAnsi="SimSun" w:cs="SimSun"/>
        </w:rPr>
        <w:t>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办学类型及层次：公办高职（专科）。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学校上级行政主管部门：重庆市教育委员会。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简介：重庆工业职业技术学院是经重庆市人民政府批准、教育部备案、独立设置的全日制公办普通高等院校。学校主要为装备制造、汽车、电子信息和现代服务业培养具有良好道德品质、勇于开拓创新、就业创业能力强的应用型、复合型、创新型高素质高技能人才。学校是全国首批</w:t>
      </w:r>
      <w:r>
        <w:rPr>
          <w:rFonts w:ascii="Times New Roman" w:eastAsia="Times New Roman" w:hAnsi="Times New Roman" w:cs="Times New Roman"/>
        </w:rPr>
        <w:t>28</w:t>
      </w:r>
      <w:r>
        <w:rPr>
          <w:rFonts w:ascii="SimSun" w:eastAsia="SimSun" w:hAnsi="SimSun" w:cs="SimSun"/>
        </w:rPr>
        <w:t>所国家示范性高职院校，首批国家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十三五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产教融合发展工程规划项目学校，重庆市优质高等职业院校项目建设单位。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Ø  </w:t>
      </w:r>
      <w:r>
        <w:rPr>
          <w:rFonts w:ascii="SimSun" w:eastAsia="SimSun" w:hAnsi="SimSun" w:cs="SimSun"/>
        </w:rPr>
        <w:t>学校于</w:t>
      </w:r>
      <w:r>
        <w:rPr>
          <w:rFonts w:ascii="Times New Roman" w:eastAsia="Times New Roman" w:hAnsi="Times New Roman" w:cs="Times New Roman"/>
        </w:rPr>
        <w:t>1956</w:t>
      </w:r>
      <w:r>
        <w:rPr>
          <w:rFonts w:ascii="SimSun" w:eastAsia="SimSun" w:hAnsi="SimSun" w:cs="SimSun"/>
        </w:rPr>
        <w:t>年建校，已有</w:t>
      </w:r>
      <w:r>
        <w:rPr>
          <w:rFonts w:ascii="Times New Roman" w:eastAsia="Times New Roman" w:hAnsi="Times New Roman" w:cs="Times New Roman"/>
        </w:rPr>
        <w:t>63</w:t>
      </w:r>
      <w:r>
        <w:rPr>
          <w:rFonts w:ascii="SimSun" w:eastAsia="SimSun" w:hAnsi="SimSun" w:cs="SimSun"/>
        </w:rPr>
        <w:t>年的办学历史，先后为国家和社会培养了各类专业人才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万余人。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Ø  </w:t>
      </w:r>
      <w:r>
        <w:rPr>
          <w:rFonts w:ascii="SimSun" w:eastAsia="SimSun" w:hAnsi="SimSun" w:cs="SimSun"/>
        </w:rPr>
        <w:t>占地面积约</w:t>
      </w:r>
      <w:r>
        <w:rPr>
          <w:rFonts w:ascii="Times New Roman" w:eastAsia="Times New Roman" w:hAnsi="Times New Roman" w:cs="Times New Roman"/>
        </w:rPr>
        <w:t>1287.8</w:t>
      </w:r>
      <w:r>
        <w:rPr>
          <w:rFonts w:ascii="SimSun" w:eastAsia="SimSun" w:hAnsi="SimSun" w:cs="SimSun"/>
        </w:rPr>
        <w:t>亩，建筑面积约</w:t>
      </w:r>
      <w:r>
        <w:rPr>
          <w:rFonts w:ascii="Times New Roman" w:eastAsia="Times New Roman" w:hAnsi="Times New Roman" w:cs="Times New Roman"/>
        </w:rPr>
        <w:t>32.4</w:t>
      </w:r>
      <w:r>
        <w:rPr>
          <w:rFonts w:ascii="SimSun" w:eastAsia="SimSun" w:hAnsi="SimSun" w:cs="SimSun"/>
        </w:rPr>
        <w:t>万平方米。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Ø  </w:t>
      </w:r>
      <w:r>
        <w:rPr>
          <w:rFonts w:ascii="SimSun" w:eastAsia="SimSun" w:hAnsi="SimSun" w:cs="SimSun"/>
        </w:rPr>
        <w:t>教职员工</w:t>
      </w:r>
      <w:r>
        <w:rPr>
          <w:rFonts w:ascii="Times New Roman" w:eastAsia="Times New Roman" w:hAnsi="Times New Roman" w:cs="Times New Roman"/>
        </w:rPr>
        <w:t>747</w:t>
      </w:r>
      <w:r>
        <w:rPr>
          <w:rFonts w:ascii="SimSun" w:eastAsia="SimSun" w:hAnsi="SimSun" w:cs="SimSun"/>
        </w:rPr>
        <w:t>人，专任教师</w:t>
      </w:r>
      <w:r>
        <w:rPr>
          <w:rFonts w:ascii="Times New Roman" w:eastAsia="Times New Roman" w:hAnsi="Times New Roman" w:cs="Times New Roman"/>
        </w:rPr>
        <w:t>595</w:t>
      </w:r>
      <w:r>
        <w:rPr>
          <w:rFonts w:ascii="SimSun" w:eastAsia="SimSun" w:hAnsi="SimSun" w:cs="SimSun"/>
        </w:rPr>
        <w:t>人，有正高职称</w:t>
      </w:r>
      <w:r>
        <w:rPr>
          <w:rFonts w:ascii="Times New Roman" w:eastAsia="Times New Roman" w:hAnsi="Times New Roman" w:cs="Times New Roman"/>
        </w:rPr>
        <w:t>65</w:t>
      </w:r>
      <w:r>
        <w:rPr>
          <w:rFonts w:ascii="SimSun" w:eastAsia="SimSun" w:hAnsi="SimSun" w:cs="SimSun"/>
        </w:rPr>
        <w:t>人，副高以上职称</w:t>
      </w:r>
      <w:r>
        <w:rPr>
          <w:rFonts w:ascii="Times New Roman" w:eastAsia="Times New Roman" w:hAnsi="Times New Roman" w:cs="Times New Roman"/>
        </w:rPr>
        <w:t>221</w:t>
      </w:r>
      <w:r>
        <w:rPr>
          <w:rFonts w:ascii="SimSun" w:eastAsia="SimSun" w:hAnsi="SimSun" w:cs="SimSun"/>
        </w:rPr>
        <w:t>人，专任教师中具有硕士学位以上</w:t>
      </w:r>
      <w:r>
        <w:rPr>
          <w:rFonts w:ascii="Times New Roman" w:eastAsia="Times New Roman" w:hAnsi="Times New Roman" w:cs="Times New Roman"/>
        </w:rPr>
        <w:t>356</w:t>
      </w:r>
      <w:r>
        <w:rPr>
          <w:rFonts w:ascii="SimSun" w:eastAsia="SimSun" w:hAnsi="SimSun" w:cs="SimSun"/>
        </w:rPr>
        <w:t>人，其中博士</w:t>
      </w:r>
      <w:r>
        <w:rPr>
          <w:rFonts w:ascii="Times New Roman" w:eastAsia="Times New Roman" w:hAnsi="Times New Roman" w:cs="Times New Roman"/>
        </w:rPr>
        <w:t>55</w:t>
      </w:r>
      <w:r>
        <w:rPr>
          <w:rFonts w:ascii="SimSun" w:eastAsia="SimSun" w:hAnsi="SimSun" w:cs="SimSun"/>
        </w:rPr>
        <w:t>人，双师型教师</w:t>
      </w:r>
      <w:r>
        <w:rPr>
          <w:rFonts w:ascii="Times New Roman" w:eastAsia="Times New Roman" w:hAnsi="Times New Roman" w:cs="Times New Roman"/>
        </w:rPr>
        <w:t>507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Ø  </w:t>
      </w:r>
      <w:r>
        <w:rPr>
          <w:rFonts w:ascii="SimSun" w:eastAsia="SimSun" w:hAnsi="SimSun" w:cs="SimSun"/>
        </w:rPr>
        <w:t>二级学院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个、专业</w:t>
      </w:r>
      <w:r>
        <w:rPr>
          <w:rFonts w:ascii="Times New Roman" w:eastAsia="Times New Roman" w:hAnsi="Times New Roman" w:cs="Times New Roman"/>
        </w:rPr>
        <w:t>52</w:t>
      </w:r>
      <w:r>
        <w:rPr>
          <w:rFonts w:ascii="SimSun" w:eastAsia="SimSun" w:hAnsi="SimSun" w:cs="SimSun"/>
        </w:rPr>
        <w:t>个。其中，国家示范专业等国家级专业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个，市级骨干专业等市级专业</w:t>
      </w:r>
      <w:r>
        <w:rPr>
          <w:rFonts w:ascii="Times New Roman" w:eastAsia="Times New Roman" w:hAnsi="Times New Roman" w:cs="Times New Roman"/>
        </w:rPr>
        <w:t>14</w:t>
      </w:r>
      <w:r>
        <w:rPr>
          <w:rFonts w:ascii="SimSun" w:eastAsia="SimSun" w:hAnsi="SimSun" w:cs="SimSun"/>
        </w:rPr>
        <w:t>个，现有高职在校学生</w:t>
      </w:r>
      <w:r>
        <w:rPr>
          <w:rFonts w:ascii="Times New Roman" w:eastAsia="Times New Roman" w:hAnsi="Times New Roman" w:cs="Times New Roman"/>
        </w:rPr>
        <w:t>14000</w:t>
      </w:r>
      <w:r>
        <w:rPr>
          <w:rFonts w:ascii="SimSun" w:eastAsia="SimSun" w:hAnsi="SimSun" w:cs="SimSun"/>
        </w:rPr>
        <w:t>余人。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招生专业、计划数及收费标准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招生专业、计划数及收费标准：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具体招生专业及计划数以各省、直辖市、自治区招办公布的招生专业及计划数为准；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收费及公示：</w:t>
      </w:r>
      <w:r>
        <w:rPr>
          <w:rFonts w:ascii="Cambria Math" w:eastAsia="Cambria Math" w:hAnsi="Cambria Math" w:cs="Cambria Math"/>
        </w:rPr>
        <w:t>①</w:t>
      </w:r>
      <w:r>
        <w:rPr>
          <w:rFonts w:ascii="SimSun" w:eastAsia="SimSun" w:hAnsi="SimSun" w:cs="SimSun"/>
        </w:rPr>
        <w:t>各专业学费标准</w:t>
      </w:r>
      <w:r>
        <w:rPr>
          <w:rFonts w:ascii="Times New Roman" w:eastAsia="Times New Roman" w:hAnsi="Times New Roman" w:cs="Times New Roman"/>
        </w:rPr>
        <w:t>6200-9000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年，中外合作办学项目学费标准</w:t>
      </w:r>
      <w:r>
        <w:rPr>
          <w:rFonts w:ascii="Times New Roman" w:eastAsia="Times New Roman" w:hAnsi="Times New Roman" w:cs="Times New Roman"/>
        </w:rPr>
        <w:t>13000-14000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年，具体标准以重庆市物价局核准的最新收费标准为准；</w:t>
      </w:r>
      <w:r>
        <w:rPr>
          <w:rFonts w:ascii="Cambria Math" w:eastAsia="Cambria Math" w:hAnsi="Cambria Math" w:cs="Cambria Math"/>
        </w:rPr>
        <w:t>②</w:t>
      </w:r>
      <w:r>
        <w:rPr>
          <w:rFonts w:ascii="SimSun" w:eastAsia="SimSun" w:hAnsi="SimSun" w:cs="SimSun"/>
        </w:rPr>
        <w:t>住宿费</w:t>
      </w:r>
      <w:r>
        <w:rPr>
          <w:rFonts w:ascii="Times New Roman" w:eastAsia="Times New Roman" w:hAnsi="Times New Roman" w:cs="Times New Roman"/>
        </w:rPr>
        <w:t>1000-1200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年左右，具体收费根据学生居住的寝室类别为准。详细收费标准在学校官网公示专栏、新生入学手册及新生报到现场进行公示。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退费管理规定：如因故退学或提前结束学业，学校按学生实际学习时间和实际住宿时间，按月计退剩余的学费和住宿费。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男女生比例要求：不限。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外语语种要求：不限，入学后公共外语统一为英语。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身体健康要求：符合《普通高等学校招生体检指导意见》标准。其中《酒店管理》和《空中乘务》专业要求男生身高不低于</w:t>
      </w:r>
      <w:r>
        <w:rPr>
          <w:rFonts w:ascii="Times New Roman" w:eastAsia="Times New Roman" w:hAnsi="Times New Roman" w:cs="Times New Roman"/>
        </w:rPr>
        <w:t>1.70</w:t>
      </w:r>
      <w:r>
        <w:rPr>
          <w:rFonts w:ascii="SimSun" w:eastAsia="SimSun" w:hAnsi="SimSun" w:cs="SimSun"/>
        </w:rPr>
        <w:t>米，女生身高不低于</w:t>
      </w:r>
      <w:r>
        <w:rPr>
          <w:rFonts w:ascii="Times New Roman" w:eastAsia="Times New Roman" w:hAnsi="Times New Roman" w:cs="Times New Roman"/>
        </w:rPr>
        <w:t>1.60</w:t>
      </w:r>
      <w:r>
        <w:rPr>
          <w:rFonts w:ascii="SimSun" w:eastAsia="SimSun" w:hAnsi="SimSun" w:cs="SimSun"/>
        </w:rPr>
        <w:t>米，不招收口吃、听力受限考生；《工业分析技术》专业不招收色盲、色弱的考生；《应用化工技术》、《药品生产技术》专业不招收色盲的考生。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普通文理考生录取顺序：对实行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顺序志愿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填报的省（市、区），我校按考生填报的学校志愿优先的原则，按投档分数从高分到低分择优录取符合条件的上线考生；若第一志愿生源不足，则录取非第一志愿的上线考生，直至招生计划完成。对实行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平行志愿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填报的省（市、区），我校按相关省（市、区）的规定执行。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艺术（美术）类考生录取顺序：重庆市考生文化、专业双上线后按专业成绩从高到低进行录取；在其他招生省份的艺术（美术）类考生录取规则按各省级招办规定为准。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对进档普通文理考生的专业安排办法：按照专业志愿优先原则从高分到低分安排专业；投档分数相同时，依次比较语文、数学、外语单科科目成绩，从高到低安排专业。对报考的专业计划已满且愿意服从专业调剂的考生，学校将在缺额的专业中进行安排；对报考的专业计划已满且不愿意服从专业调剂的考生则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对进档艺术（美术）类考生的专业安排办法：文化成绩和专业成绩双上线后，按专业成绩优先原则安排专业；专业成绩相同时，按文化成绩从高到低安排专业。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对内蒙古考生的专业录取实行专业志愿清的录取原则。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我校部分专业实行大类招生，大类招收的学生入学一年后按学校相关规定执行专业分流。机械设计制造类（含机械设计与制造、数控技术、焊接技术与自动化、模具设计与制造专业）；汽车制造类（含汽车检测与维修技术、汽车电子技术、新能源汽车技术专业）；自动化类（含机电一体化技术、电气自动化技术、智能控制技术、工业机器人技术专业）；电子信息类（含应用电子技术、移动互联应用技术、物联网应用技术专业）；计算机类（含软件技术、数字媒体应用技术、信息安全与管理专业）；艺术设计类（含广告设计与制作、室内艺术设计、环境艺术设计专业）；航空运输类（含空中乘务、航空物流专业）；旅游类（含旅游管理、酒店管理专业）；化工技术类（含工业分析技术、应用化工技术专业）；药品制造类（含药品生成技术、药品质量与安全专业）；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我校中外合作办学专业有以下两个：会计（中外合作办学项目），教育部批准书编号</w:t>
      </w:r>
      <w:r>
        <w:rPr>
          <w:rFonts w:ascii="Times New Roman" w:eastAsia="Times New Roman" w:hAnsi="Times New Roman" w:cs="Times New Roman"/>
        </w:rPr>
        <w:t>PDE50CA3A20160902N</w:t>
      </w:r>
      <w:r>
        <w:rPr>
          <w:rFonts w:ascii="SimSun" w:eastAsia="SimSun" w:hAnsi="SimSun" w:cs="SimSun"/>
        </w:rPr>
        <w:t>，专业代码</w:t>
      </w:r>
      <w:r>
        <w:rPr>
          <w:rFonts w:ascii="Times New Roman" w:eastAsia="Times New Roman" w:hAnsi="Times New Roman" w:cs="Times New Roman"/>
        </w:rPr>
        <w:t>630302H</w:t>
      </w:r>
      <w:r>
        <w:rPr>
          <w:rFonts w:ascii="SimSun" w:eastAsia="SimSun" w:hAnsi="SimSun" w:cs="SimSun"/>
        </w:rPr>
        <w:t>；机械设计与制造（中外合作办学项目），教育部批准书编号</w:t>
      </w:r>
      <w:r>
        <w:rPr>
          <w:rFonts w:ascii="Times New Roman" w:eastAsia="Times New Roman" w:hAnsi="Times New Roman" w:cs="Times New Roman"/>
        </w:rPr>
        <w:t>PDE50CA3A20150875N</w:t>
      </w:r>
      <w:r>
        <w:rPr>
          <w:rFonts w:ascii="SimSun" w:eastAsia="SimSun" w:hAnsi="SimSun" w:cs="SimSun"/>
        </w:rPr>
        <w:t>，专业代码</w:t>
      </w:r>
      <w:r>
        <w:rPr>
          <w:rFonts w:ascii="Times New Roman" w:eastAsia="Times New Roman" w:hAnsi="Times New Roman" w:cs="Times New Roman"/>
        </w:rPr>
        <w:t>560101H</w:t>
      </w:r>
      <w:r>
        <w:rPr>
          <w:rFonts w:ascii="SimSun" w:eastAsia="SimSun" w:hAnsi="SimSun" w:cs="SimSun"/>
        </w:rPr>
        <w:t>。上述中外合作办学项目只招收填报了相应专业志愿的考生，具体招生代码、招生计划、录取批次最终以各省级招生主管部门公布的信息为准。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有无相关科目成绩或加试要求：无。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SimSun" w:eastAsia="SimSun" w:hAnsi="SimSun" w:cs="SimSun"/>
        </w:rPr>
        <w:t>对非第一志愿考生有无分数级差要求：无。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SimSun" w:eastAsia="SimSun" w:hAnsi="SimSun" w:cs="SimSun"/>
        </w:rPr>
        <w:t>加降分要求：对于报考我校且符合国家及各省（直辖市、自治区）规定的加分和降分条件的进档考生，按加分或降分后的总成绩降序排列，从高分到低分择优录取。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学历证书发放：学生在规定年限内修完教学计划规定的全部课程，成绩合格，符合毕业条件，颁发国家承认、经教育部电子注册的重庆工业职业技术学院普通专科毕业证书。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奖助学金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国家奖学金：每学年按国家相关规定评定一次，国家奖学金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人，国家励志奖学金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学校奖学金：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①</w:t>
      </w:r>
      <w:r>
        <w:rPr>
          <w:rFonts w:ascii="SimSun" w:eastAsia="SimSun" w:hAnsi="SimSun" w:cs="SimSun"/>
        </w:rPr>
        <w:t>优秀新生奖学金：学校针对优秀新生设置入学奖学金，新生入学时按学校相关规定评定一次，特等优秀新生奖学金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人，一等优秀新生奖学金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人，二等优秀新生奖学金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人，三等优秀新生奖学金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②</w:t>
      </w:r>
      <w:r>
        <w:rPr>
          <w:rFonts w:ascii="SimSun" w:eastAsia="SimSun" w:hAnsi="SimSun" w:cs="SimSun"/>
        </w:rPr>
        <w:t>综合奖学金：每学期按学校相关规定评定一次，一等奖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期，二等奖</w:t>
      </w:r>
      <w:r>
        <w:rPr>
          <w:rFonts w:ascii="Times New Roman" w:eastAsia="Times New Roman" w:hAnsi="Times New Roman" w:cs="Times New Roman"/>
        </w:rPr>
        <w:t>400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期，三等奖</w:t>
      </w:r>
      <w:r>
        <w:rPr>
          <w:rFonts w:ascii="Times New Roman" w:eastAsia="Times New Roman" w:hAnsi="Times New Roman" w:cs="Times New Roman"/>
        </w:rPr>
        <w:t>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③</w:t>
      </w:r>
      <w:r>
        <w:rPr>
          <w:rFonts w:ascii="SimSun" w:eastAsia="SimSun" w:hAnsi="SimSun" w:cs="SimSun"/>
        </w:rPr>
        <w:t>单项奖学金：按照级别和等级要求，奖励标准从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-5000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家庭经济困难学生：可申请国家助学贷款、国家助学金、建档立卡学生资助、社会助学金、特困补助和参加勤工助学活动等，保障家庭经济困难学生顺利完成学业。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监督机制：学校招生就业处按照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严格程序，加强管理，接受监督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的原则，做到公平、公正、公开地选拔人才，学校纪检监察部门全程参与和监督学校整个招生工作，监督电话</w:t>
      </w:r>
      <w:r>
        <w:rPr>
          <w:rFonts w:ascii="Times New Roman" w:eastAsia="Times New Roman" w:hAnsi="Times New Roman" w:cs="Times New Roman"/>
        </w:rPr>
        <w:t>023-61879222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我校从来不委托任何单位和个人代办招生事宜，有关招生录取问题，请直接与我校招生就业处联系，否则出现任何后果，学校概不负责。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学校招生信息网址：</w:t>
      </w:r>
      <w:r>
        <w:rPr>
          <w:rFonts w:ascii="Times New Roman" w:eastAsia="Times New Roman" w:hAnsi="Times New Roman" w:cs="Times New Roman"/>
        </w:rPr>
        <w:t xml:space="preserve">http://zsjyc.cqipc.edu.cn/zsxxw.htm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 xml:space="preserve">023-61879051  61879050 61879344          </w:t>
      </w: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023-61879000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地址：重庆市渝北区（空港）桃源大道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401120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电子邮件：</w:t>
      </w:r>
      <w:r>
        <w:rPr>
          <w:rFonts w:ascii="Times New Roman" w:eastAsia="Times New Roman" w:hAnsi="Times New Roman" w:cs="Times New Roman"/>
        </w:rPr>
        <w:t xml:space="preserve">cqgzyzsb@163.com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本招生章程由重庆工业职业技术学院招生就业处负责解释。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重庆工商大学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重庆工贸职业技术学院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年高水平艺术团招生简章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重庆工程职业技术学院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年招生计划（秋季统招）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重庆幼儿师专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年普通高考分省市分专业计划表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重庆第二师范学院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重庆化工职业学院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重庆电讯职业学院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重庆工商职业学院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重庆工商大学派斯学院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重庆人文科技学院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chongqing/2020/0717/17437.html" TargetMode="External" /><Relationship Id="rId11" Type="http://schemas.openxmlformats.org/officeDocument/2006/relationships/hyperlink" Target="http://www.gk114.com/a/gxzs/zszc/chongqing/2020/0629/17216.html" TargetMode="External" /><Relationship Id="rId12" Type="http://schemas.openxmlformats.org/officeDocument/2006/relationships/hyperlink" Target="http://www.gk114.com/a/gxzs/zszc/chongqing/2020/0629/17215.html" TargetMode="External" /><Relationship Id="rId13" Type="http://schemas.openxmlformats.org/officeDocument/2006/relationships/hyperlink" Target="http://www.gk114.com/a/gxzs/zszc/chongqing/2020/0629/17214.html" TargetMode="External" /><Relationship Id="rId14" Type="http://schemas.openxmlformats.org/officeDocument/2006/relationships/hyperlink" Target="http://www.gk114.com/a/gxzs/zszc/chongqing/2020/0629/17213.html" TargetMode="External" /><Relationship Id="rId15" Type="http://schemas.openxmlformats.org/officeDocument/2006/relationships/hyperlink" Target="http://www.gk114.com/a/gxzs/zszc/chongqing/2020/0629/17212.html" TargetMode="External" /><Relationship Id="rId16" Type="http://schemas.openxmlformats.org/officeDocument/2006/relationships/hyperlink" Target="http://www.gk114.com/a/gxzs/zszc/chongqing/2020/0629/17211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chongqing/2019/0613/9850.html" TargetMode="External" /><Relationship Id="rId5" Type="http://schemas.openxmlformats.org/officeDocument/2006/relationships/hyperlink" Target="http://www.gk114.com/a/gxzs/zszc/chongqing/2019/0613/9852.html" TargetMode="External" /><Relationship Id="rId6" Type="http://schemas.openxmlformats.org/officeDocument/2006/relationships/hyperlink" Target="http://www.gk114.com/a/gxzs/zszc/chongqing/" TargetMode="External" /><Relationship Id="rId7" Type="http://schemas.openxmlformats.org/officeDocument/2006/relationships/hyperlink" Target="http://www.gk114.com/a/gxzs/zszc/chongqing/2022/0328/21993.html" TargetMode="External" /><Relationship Id="rId8" Type="http://schemas.openxmlformats.org/officeDocument/2006/relationships/hyperlink" Target="http://www.gk114.com/a/gxzs/zszc/chongqing/2022/0303/21802.html" TargetMode="External" /><Relationship Id="rId9" Type="http://schemas.openxmlformats.org/officeDocument/2006/relationships/hyperlink" Target="http://www.gk114.com/a/gxzs/zszc/chongqing/2020/0721/1744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