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重庆旅游职业学院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按照《中华人民共和国教育法》《中华人民共和国高等教育法》和教育部普通教育招生的相关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学院全称：重庆旅游职业学院</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14316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学院地址：重庆市黔江区舟白街道学府一路一号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409099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学院概况：重庆旅游职业学院成立于</w:t>
      </w:r>
      <w:r>
        <w:rPr>
          <w:rFonts w:ascii="Times New Roman" w:eastAsia="Times New Roman" w:hAnsi="Times New Roman" w:cs="Times New Roman"/>
        </w:rPr>
        <w:t>2010</w:t>
      </w:r>
      <w:r>
        <w:rPr>
          <w:rFonts w:ascii="SimSun" w:eastAsia="SimSun" w:hAnsi="SimSun" w:cs="SimSun"/>
        </w:rPr>
        <w:t>年，是重庆市人民政府批准设立、教育部备案、重庆市教委主管的一所公办旅游高等职业院校。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学院地处渝东南地区和武陵山片区中心城市，享有</w:t>
      </w:r>
      <w:r>
        <w:rPr>
          <w:rFonts w:ascii="Times New Roman" w:eastAsia="Times New Roman" w:hAnsi="Times New Roman" w:cs="Times New Roman"/>
        </w:rPr>
        <w:t>“</w:t>
      </w:r>
      <w:r>
        <w:rPr>
          <w:rFonts w:ascii="SimSun" w:eastAsia="SimSun" w:hAnsi="SimSun" w:cs="SimSun"/>
        </w:rPr>
        <w:t>东方卢森堡</w:t>
      </w:r>
      <w:r>
        <w:rPr>
          <w:rFonts w:ascii="Times New Roman" w:eastAsia="Times New Roman" w:hAnsi="Times New Roman" w:cs="Times New Roman"/>
        </w:rPr>
        <w:t>”</w:t>
      </w:r>
      <w:r>
        <w:rPr>
          <w:rFonts w:ascii="SimSun" w:eastAsia="SimSun" w:hAnsi="SimSun" w:cs="SimSun"/>
        </w:rPr>
        <w:t>之称的重庆市黔江区，毗邻优美壮丽的</w:t>
      </w:r>
      <w:r>
        <w:rPr>
          <w:rFonts w:ascii="Times New Roman" w:eastAsia="Times New Roman" w:hAnsi="Times New Roman" w:cs="Times New Roman"/>
        </w:rPr>
        <w:t>“</w:t>
      </w:r>
      <w:r>
        <w:rPr>
          <w:rFonts w:ascii="SimSun" w:eastAsia="SimSun" w:hAnsi="SimSun" w:cs="SimSun"/>
        </w:rPr>
        <w:t>芭拉胡</w:t>
      </w:r>
      <w:r>
        <w:rPr>
          <w:rFonts w:ascii="Times New Roman" w:eastAsia="Times New Roman" w:hAnsi="Times New Roman" w:cs="Times New Roman"/>
        </w:rPr>
        <w:t>”</w:t>
      </w:r>
      <w:r>
        <w:rPr>
          <w:rFonts w:ascii="SimSun" w:eastAsia="SimSun" w:hAnsi="SimSun" w:cs="SimSun"/>
        </w:rPr>
        <w:t>景区。校园占地面积</w:t>
      </w:r>
      <w:r>
        <w:rPr>
          <w:rFonts w:ascii="Times New Roman" w:eastAsia="Times New Roman" w:hAnsi="Times New Roman" w:cs="Times New Roman"/>
        </w:rPr>
        <w:t>300</w:t>
      </w:r>
      <w:r>
        <w:rPr>
          <w:rFonts w:ascii="SimSun" w:eastAsia="SimSun" w:hAnsi="SimSun" w:cs="SimSun"/>
        </w:rPr>
        <w:t>余亩，总建筑面积</w:t>
      </w:r>
      <w:r>
        <w:rPr>
          <w:rFonts w:ascii="Times New Roman" w:eastAsia="Times New Roman" w:hAnsi="Times New Roman" w:cs="Times New Roman"/>
        </w:rPr>
        <w:t>134825.33</w:t>
      </w:r>
      <w:r>
        <w:rPr>
          <w:rFonts w:ascii="SimSun" w:eastAsia="SimSun" w:hAnsi="SimSun" w:cs="SimSun"/>
        </w:rPr>
        <w:t>平方米。建有酒店实训楼、</w:t>
      </w:r>
      <w:r>
        <w:rPr>
          <w:rFonts w:ascii="Times New Roman" w:eastAsia="Times New Roman" w:hAnsi="Times New Roman" w:cs="Times New Roman"/>
        </w:rPr>
        <w:t>3D</w:t>
      </w:r>
      <w:r>
        <w:rPr>
          <w:rFonts w:ascii="SimSun" w:eastAsia="SimSun" w:hAnsi="SimSun" w:cs="SimSun"/>
        </w:rPr>
        <w:t>模拟导游实训室、汽车维修实训室、中西餐实训室、酒吧、酒窖、糕点间、舞蹈练功厅、多功能演艺厅、琴房、工艺设计室、航空模拟舱、园林实训室、茶文化室、茶艺室等</w:t>
      </w:r>
      <w:r>
        <w:rPr>
          <w:rFonts w:ascii="Times New Roman" w:eastAsia="Times New Roman" w:hAnsi="Times New Roman" w:cs="Times New Roman"/>
        </w:rPr>
        <w:t>40</w:t>
      </w:r>
      <w:r>
        <w:rPr>
          <w:rFonts w:ascii="SimSun" w:eastAsia="SimSun" w:hAnsi="SimSun" w:cs="SimSun"/>
        </w:rPr>
        <w:t>余个校内实训场所，并与重庆旅投集团、浙江宋城集团、湖南张家界景区、北京广慧金通教育科技有限公司等</w:t>
      </w:r>
      <w:r>
        <w:rPr>
          <w:rFonts w:ascii="Times New Roman" w:eastAsia="Times New Roman" w:hAnsi="Times New Roman" w:cs="Times New Roman"/>
        </w:rPr>
        <w:t>90</w:t>
      </w:r>
      <w:r>
        <w:rPr>
          <w:rFonts w:ascii="SimSun" w:eastAsia="SimSun" w:hAnsi="SimSun" w:cs="SimSun"/>
        </w:rPr>
        <w:t>余家旅游企业开展深度校企合作，建立了多个校外实训基地。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学院现有旅游管理系、酒店管理系、财经与旅游商贸系、智能制造与旅游交通系、外国语与涉外旅游系、艺术与文化旅游系、大数据与智慧旅游系、马克思主义学院等</w:t>
      </w:r>
      <w:r>
        <w:rPr>
          <w:rFonts w:ascii="Times New Roman" w:eastAsia="Times New Roman" w:hAnsi="Times New Roman" w:cs="Times New Roman"/>
        </w:rPr>
        <w:t>8</w:t>
      </w:r>
      <w:r>
        <w:rPr>
          <w:rFonts w:ascii="SimSun" w:eastAsia="SimSun" w:hAnsi="SimSun" w:cs="SimSun"/>
        </w:rPr>
        <w:t>个教学单位，开设了导游、旅游管理、酒店管理、园林技术、会计、音乐表演、舞蹈表演、旅游英语、商务英语、工艺美术品设计、烹调工艺与营养、汽车检测与维修技术、空中乘务、学前教育、信息统计与分析、大数据技术与应用、数字媒体技术应用、智能控制技术、网络营销、民族传统技艺等</w:t>
      </w:r>
      <w:r>
        <w:rPr>
          <w:rFonts w:ascii="Times New Roman" w:eastAsia="Times New Roman" w:hAnsi="Times New Roman" w:cs="Times New Roman"/>
        </w:rPr>
        <w:t>20</w:t>
      </w:r>
      <w:r>
        <w:rPr>
          <w:rFonts w:ascii="SimSun" w:eastAsia="SimSun" w:hAnsi="SimSun" w:cs="SimSun"/>
        </w:rPr>
        <w:t>个专业，涵盖</w:t>
      </w:r>
      <w:r>
        <w:rPr>
          <w:rFonts w:ascii="Times New Roman" w:eastAsia="Times New Roman" w:hAnsi="Times New Roman" w:cs="Times New Roman"/>
        </w:rPr>
        <w:t>“</w:t>
      </w:r>
      <w:r>
        <w:rPr>
          <w:rFonts w:ascii="SimSun" w:eastAsia="SimSun" w:hAnsi="SimSun" w:cs="SimSun"/>
        </w:rPr>
        <w:t>吃住行游购娱</w:t>
      </w:r>
      <w:r>
        <w:rPr>
          <w:rFonts w:ascii="Times New Roman" w:eastAsia="Times New Roman" w:hAnsi="Times New Roman" w:cs="Times New Roman"/>
        </w:rPr>
        <w:t>”</w:t>
      </w:r>
      <w:r>
        <w:rPr>
          <w:rFonts w:ascii="SimSun" w:eastAsia="SimSun" w:hAnsi="SimSun" w:cs="SimSun"/>
        </w:rPr>
        <w:t>等旅游行业需求，毕业生就业率高达</w:t>
      </w:r>
      <w:r>
        <w:rPr>
          <w:rFonts w:ascii="Times New Roman" w:eastAsia="Times New Roman" w:hAnsi="Times New Roman" w:cs="Times New Roman"/>
        </w:rPr>
        <w:t>97%</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达</w:t>
      </w:r>
      <w:r>
        <w:rPr>
          <w:rFonts w:ascii="Times New Roman" w:eastAsia="Times New Roman" w:hAnsi="Times New Roman" w:cs="Times New Roman"/>
        </w:rPr>
        <w:t>400</w:t>
      </w:r>
      <w:r>
        <w:rPr>
          <w:rFonts w:ascii="SimSun" w:eastAsia="SimSun" w:hAnsi="SimSun" w:cs="SimSun"/>
        </w:rPr>
        <w:t>余人次，学生在全国和重庆市技能竞赛中屡创佳绩。学院将按照</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发展规划，顺应时代要求，抢抓历史性发展机遇，建设成为旅游行业特色鲜明的应用创新型院校高职院校。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2019</w:t>
      </w:r>
      <w:r>
        <w:rPr>
          <w:rFonts w:ascii="SimSun" w:eastAsia="SimSun" w:hAnsi="SimSun" w:cs="SimSun"/>
        </w:rPr>
        <w:t>年我院面向重庆、四川、云南、贵州、甘肃、西藏、河南、广西、陕西、湖北</w:t>
      </w:r>
      <w:r>
        <w:rPr>
          <w:rFonts w:ascii="Times New Roman" w:eastAsia="Times New Roman" w:hAnsi="Times New Roman" w:cs="Times New Roman"/>
        </w:rPr>
        <w:t>10</w:t>
      </w:r>
      <w:r>
        <w:rPr>
          <w:rFonts w:ascii="SimSun" w:eastAsia="SimSun" w:hAnsi="SimSun" w:cs="SimSun"/>
        </w:rPr>
        <w:t>个省（直辖市）招生，具体分省分专业招生计划及详细说明以各省、市教育行政主管部门公布的数据为准。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w:t>
      </w:r>
      <w:r>
        <w:rPr>
          <w:rFonts w:ascii="Times New Roman" w:eastAsia="Times New Roman" w:hAnsi="Times New Roman" w:cs="Times New Roman"/>
        </w:rPr>
        <w:t>2019</w:t>
      </w:r>
      <w:r>
        <w:rPr>
          <w:rFonts w:ascii="SimSun" w:eastAsia="SimSun" w:hAnsi="SimSun" w:cs="SimSun"/>
        </w:rPr>
        <w:t>年普通高等学校招生工作规定》及各省市的招生录取相关规定，学院招生工作遵循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我校执行各省（自治区、直辖市）招办制定的招生政策，认可各省（自治区、直辖市）规定的考生加分、降分条件和出档规定。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对顺序志愿优先录取第一志愿进档考生，如第一志愿生源不足，按志愿顺序原则择优录取其他志愿的考生。对于平行志愿投档的省（直辖市），所有进档考生皆视为第一志愿进行择优录取。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对报考的专业计划已满且愿意服从专业调剂的考生，学校将在缺额的专业中进行安排；对报考的专业计划已满且不愿意服从专业调剂的考生则作退档处理。进档考生按以下原则确定录取专业：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）优先满足第一专业志愿，按分数高低录取；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）其它专业志愿视为平行志愿，按分数优先原则确定考生录取专业，分数相同时，专业志愿优先；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）专业计划录取不满额时，在服从专业志愿调配的考生中择优录取；不服从专业志愿调配的考生，如所填专业计划已录取满额，作退档处理。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我院各专业均不限制男女比例。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我院各专业录取时，均不限制外语语种，入学后一律学习英语。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艺术类专业录取时，以全国普通高等学校统一考试的文化成绩和专业成绩为依据，要求文考成绩和专业成绩双上线，投档考生按专业成绩从高分到低分择优录取。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导游专业要求：五官端正，无口吃，男生身高</w:t>
      </w:r>
      <w:r>
        <w:rPr>
          <w:rFonts w:ascii="Times New Roman" w:eastAsia="Times New Roman" w:hAnsi="Times New Roman" w:cs="Times New Roman"/>
        </w:rPr>
        <w:t>1.6</w:t>
      </w:r>
      <w:r>
        <w:rPr>
          <w:rFonts w:ascii="SimSun" w:eastAsia="SimSun" w:hAnsi="SimSun" w:cs="SimSun"/>
        </w:rPr>
        <w:t>米以上、女生身高</w:t>
      </w:r>
      <w:r>
        <w:rPr>
          <w:rFonts w:ascii="Times New Roman" w:eastAsia="Times New Roman" w:hAnsi="Times New Roman" w:cs="Times New Roman"/>
        </w:rPr>
        <w:t>1.55</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空中乘务：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）五官端正、体形匀称、身体裸露部位无明显疤痕，无纹身，无明显的</w:t>
      </w:r>
      <w:r>
        <w:rPr>
          <w:rFonts w:ascii="Times New Roman" w:eastAsia="Times New Roman" w:hAnsi="Times New Roman" w:cs="Times New Roman"/>
        </w:rPr>
        <w:t>“O”</w:t>
      </w:r>
      <w:r>
        <w:rPr>
          <w:rFonts w:ascii="SimSun" w:eastAsia="SimSun" w:hAnsi="SimSun" w:cs="SimSun"/>
        </w:rPr>
        <w:t>型或</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）身高：女生在</w:t>
      </w:r>
      <w:r>
        <w:rPr>
          <w:rFonts w:ascii="Times New Roman" w:eastAsia="Times New Roman" w:hAnsi="Times New Roman" w:cs="Times New Roman"/>
        </w:rPr>
        <w:t>160</w:t>
      </w:r>
      <w:r>
        <w:rPr>
          <w:rFonts w:ascii="SimSun" w:eastAsia="SimSun" w:hAnsi="SimSun" w:cs="SimSun"/>
        </w:rPr>
        <w:t>以上，男生在</w:t>
      </w:r>
      <w:r>
        <w:rPr>
          <w:rFonts w:ascii="Times New Roman" w:eastAsia="Times New Roman" w:hAnsi="Times New Roman" w:cs="Times New Roman"/>
        </w:rPr>
        <w:t>170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）无色盲、色弱、斜视，任何一眼矫正视力不低于</w:t>
      </w:r>
      <w:r>
        <w:rPr>
          <w:rFonts w:ascii="Times New Roman" w:eastAsia="Times New Roman" w:hAnsi="Times New Roman" w:cs="Times New Roman"/>
        </w:rPr>
        <w:t>C</w:t>
      </w:r>
      <w:r>
        <w:rPr>
          <w:rFonts w:ascii="SimSun" w:eastAsia="SimSun" w:hAnsi="SimSun" w:cs="SimSun"/>
        </w:rPr>
        <w:t>字视力表</w:t>
      </w:r>
      <w:r>
        <w:rPr>
          <w:rFonts w:ascii="Times New Roman" w:eastAsia="Times New Roman" w:hAnsi="Times New Roman" w:cs="Times New Roman"/>
        </w:rPr>
        <w:t>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）年龄不超过二十周岁，即</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报考我院的考生必须符合《普通高等学校招生体检指导意见》的要求。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学院录取考生结果的公布渠道为考生所在省（直辖市、自治区）招办，考生亦可在我院网站中查询</w:t>
      </w:r>
      <w:r>
        <w:rPr>
          <w:rFonts w:ascii="Times New Roman" w:eastAsia="Times New Roman" w:hAnsi="Times New Roman" w:cs="Times New Roman"/>
        </w:rPr>
        <w:t>(www.cqvit.com)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证的颁发：学生在学校规定学习年限内修完教育教学计划规定内容，达到毕业条件的，学校准予毕业，颁发由教育部统一网上电子注册的重庆旅游职业学院全日制普通专科（高职）毕业证书。学生在学校规定学习年限内，修完教育教学计划规定内容，但未达到学校毕业要求的，学校可以准予结业，发给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学院严格按重庆市物价局、重庆市教委核定的收费标准执行，文史类</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生（不含空中乘务）；理工类</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生；信息统计与分析、大数据技术与应用、数字媒体技术应用、智能控制技术、网络营销</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生；空中乘务</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生；艺术类</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退费管理规定：如因故退学或提前结束学业，学校按学生实际学习时间和实际住宿时间，按月计退剩余的学费和住宿费。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奖贷学金和贫困生资助办法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、奖学金：有国家奖学金、国家励志奖学金、学校奖学金以及各种单项奖励等类别，按照相关规定评定和奖励；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、家庭经济困难学生：可申请国家助学贷款、国家助学金、社会助学金、特困补助和参加勤工助学活动等，保障家庭经济困难学生顺利完成学业。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学院从不委托任何中介机构和个人代办招生事宜，有关招生录取工作，请直接与我院招生办公室联系，否则出现任何后果，学院概不负责。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三个月内，学院对所有新生进行入学条件的全面复查，复查不合格者，将区别情况予以处理，直至取消学籍。被我院录取的新生因响应国家号召应征入伍需要保留学籍的，本人必须按照重庆市教委和当地教育主管部门及征兵办要求在注册学籍之前向学院提供相关材料方能保留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退费管理规定：如因故退学或提前结束学业，学校按学生实际学习时间和实际住宿时间，按月计退剩余的学费和住宿费。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监督机制：学院招生办公室按照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的原则，做到公平、公正、公开地选拔人才，学院纪检监察部门全程参与和监督学院整个招生工作，监督电话：</w:t>
      </w:r>
      <w:r>
        <w:rPr>
          <w:rFonts w:ascii="Times New Roman" w:eastAsia="Times New Roman" w:hAnsi="Times New Roman" w:cs="Times New Roman"/>
        </w:rPr>
        <w:t>023-85086805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地址：重庆市黔江区舟白街道学府一路一号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409099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023-85086111 85086683    </w:t>
      </w:r>
      <w:r>
        <w:rPr>
          <w:rFonts w:ascii="SimSun" w:eastAsia="SimSun" w:hAnsi="SimSun" w:cs="SimSun"/>
        </w:rPr>
        <w:t>传真：</w:t>
      </w:r>
      <w:r>
        <w:rPr>
          <w:rFonts w:ascii="Times New Roman" w:eastAsia="Times New Roman" w:hAnsi="Times New Roman" w:cs="Times New Roman"/>
        </w:rPr>
        <w:t xml:space="preserve">023-85086111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  1551927351  2365849735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w:t>
      </w:r>
      <w:r>
        <w:rPr>
          <w:rFonts w:ascii="Times New Roman" w:eastAsia="Times New Roman" w:hAnsi="Times New Roman" w:cs="Times New Roman"/>
        </w:rPr>
        <w:t xml:space="preserve">cqlyzyxy  </w:t>
      </w:r>
      <w:r>
        <w:rPr>
          <w:rFonts w:ascii="SimSun" w:eastAsia="SimSun" w:hAnsi="SimSun" w:cs="SimSun"/>
        </w:rPr>
        <w:t>微信公众号：重庆旅职院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cqvitzjc@126.com  </w:t>
      </w:r>
      <w:r>
        <w:rPr>
          <w:rFonts w:ascii="SimSun" w:eastAsia="SimSun" w:hAnsi="SimSun" w:cs="SimSun"/>
        </w:rPr>
        <w:t>学院网址：</w:t>
      </w:r>
      <w:r>
        <w:rPr>
          <w:rFonts w:ascii="Times New Roman" w:eastAsia="Times New Roman" w:hAnsi="Times New Roman" w:cs="Times New Roman"/>
        </w:rPr>
        <w:t xml:space="preserve">http://www.cqvit.com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重庆公共运输职业学院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重庆交通职业学院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5.html" TargetMode="External" /><Relationship Id="rId5" Type="http://schemas.openxmlformats.org/officeDocument/2006/relationships/hyperlink" Target="http://www.gk114.com/a/gxzs/zszc/chongqing/2019/0613/981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0/0721/17455.html" TargetMode="External" /><Relationship Id="rId9" Type="http://schemas.openxmlformats.org/officeDocument/2006/relationships/hyperlink" Target="http://www.gk114.com/a/gxzs/zszc/chongqing/2020/0721/174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