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学校主校区地址：吉林省长春市朝阳区卫星路</w:t>
      </w:r>
      <w:r>
        <w:rPr>
          <w:rFonts w:ascii="Times New Roman" w:eastAsia="Times New Roman" w:hAnsi="Times New Roman" w:cs="Times New Roman"/>
        </w:rPr>
        <w:t>6543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学校西校区地址：吉林省长春市朝阳区卫星路</w:t>
      </w:r>
      <w:r>
        <w:rPr>
          <w:rFonts w:ascii="Times New Roman" w:eastAsia="Times New Roman" w:hAnsi="Times New Roman" w:cs="Times New Roman"/>
        </w:rPr>
        <w:t>8326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汽车服务工程专业学费标准为每生每学年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特殊教育专业学费标准为每生每学年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政治学与行政学专业学费标准为每生每学年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园林专业学费标准为每生每学年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材料科学与工程专业学费标准为每生每学年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金融工程专业学费标准为每生每学年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应用统计学专业学费标准为每生每学年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信息与计算科学专业学费标准为每生每学年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西班牙语专业学费标准为每生每学年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针灸推拿学专业学费标准为每生每学年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康复治疗学专业学费标准为每生每学年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俄语（中外合作办学）专业学费标准为每生每学年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波兰语专业学费标准为每生每学年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绘画专业学费标准为每生每学年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(ISEC)</w:t>
      </w:r>
      <w:r>
        <w:rPr>
          <w:rFonts w:ascii="SimSun" w:eastAsia="SimSun" w:hAnsi="SimSun" w:cs="SimSun"/>
        </w:rPr>
        <w:t>、会计学</w:t>
      </w:r>
      <w:r>
        <w:rPr>
          <w:rFonts w:ascii="Times New Roman" w:eastAsia="Times New Roman" w:hAnsi="Times New Roman" w:cs="Times New Roman"/>
        </w:rPr>
        <w:t>(ISEC)</w:t>
      </w:r>
      <w:r>
        <w:rPr>
          <w:rFonts w:ascii="SimSun" w:eastAsia="SimSun" w:hAnsi="SimSun" w:cs="SimSun"/>
        </w:rPr>
        <w:t>、市场营销</w:t>
      </w:r>
      <w:r>
        <w:rPr>
          <w:rFonts w:ascii="Times New Roman" w:eastAsia="Times New Roman" w:hAnsi="Times New Roman" w:cs="Times New Roman"/>
        </w:rPr>
        <w:t>(ISEC)</w:t>
      </w:r>
      <w:r>
        <w:rPr>
          <w:rFonts w:ascii="SimSun" w:eastAsia="SimSun" w:hAnsi="SimSun" w:cs="SimSun"/>
        </w:rPr>
        <w:t>、金融工程</w:t>
      </w:r>
      <w:r>
        <w:rPr>
          <w:rFonts w:ascii="Times New Roman" w:eastAsia="Times New Roman" w:hAnsi="Times New Roman" w:cs="Times New Roman"/>
        </w:rPr>
        <w:t>(ISEC)</w:t>
      </w:r>
      <w:r>
        <w:rPr>
          <w:rFonts w:ascii="SimSun" w:eastAsia="SimSun" w:hAnsi="SimSun" w:cs="SimSun"/>
        </w:rPr>
        <w:t>专业学费标准待定，以吉林省物价部门审核标准收取。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工商企业管理（中外合作办学）专业学费标准为每生每学年</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国际经济与贸易（中外合作办学）专业学费标准为每生每学年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数字媒体艺术设计（中外合作办学）专业学费标准为每生每学年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学生完成培养方案要求的教学内容，成绩合格，符合毕业条件，本科毕业生由长春大学颁发国家规定的本科毕业证书。专科毕业生由长春大学颁发国家规定的专科毕业证书。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学校坚持以人才培养为核心，秉承</w:t>
      </w:r>
      <w:r>
        <w:rPr>
          <w:rFonts w:ascii="Times New Roman" w:eastAsia="Times New Roman" w:hAnsi="Times New Roman" w:cs="Times New Roman"/>
        </w:rPr>
        <w:t>“</w:t>
      </w:r>
      <w:r>
        <w:rPr>
          <w:rFonts w:ascii="SimSun" w:eastAsia="SimSun" w:hAnsi="SimSun" w:cs="SimSun"/>
        </w:rPr>
        <w:t>保障为本、能力为重、全面发展</w:t>
      </w:r>
      <w:r>
        <w:rPr>
          <w:rFonts w:ascii="Times New Roman" w:eastAsia="Times New Roman" w:hAnsi="Times New Roman" w:cs="Times New Roman"/>
        </w:rPr>
        <w:t>”</w:t>
      </w:r>
      <w:r>
        <w:rPr>
          <w:rFonts w:ascii="SimSun" w:eastAsia="SimSun" w:hAnsi="SimSun" w:cs="SimSun"/>
        </w:rPr>
        <w:t>的工作理念，以</w:t>
      </w:r>
      <w:r>
        <w:rPr>
          <w:rFonts w:ascii="Times New Roman" w:eastAsia="Times New Roman" w:hAnsi="Times New Roman" w:cs="Times New Roman"/>
        </w:rPr>
        <w:t>“</w:t>
      </w:r>
      <w:r>
        <w:rPr>
          <w:rFonts w:ascii="SimSun" w:eastAsia="SimSun" w:hAnsi="SimSun" w:cs="SimSun"/>
        </w:rPr>
        <w:t>构建和谐校园、培养学生自立自强意识、确保不让一名学生因家庭经济困难而辍学</w:t>
      </w:r>
      <w:r>
        <w:rPr>
          <w:rFonts w:ascii="Times New Roman" w:eastAsia="Times New Roman" w:hAnsi="Times New Roman" w:cs="Times New Roman"/>
        </w:rPr>
        <w:t>”</w:t>
      </w:r>
      <w:r>
        <w:rPr>
          <w:rFonts w:ascii="SimSun" w:eastAsia="SimSun" w:hAnsi="SimSun" w:cs="SimSun"/>
        </w:rPr>
        <w:t>为总体工作目标，形成了</w:t>
      </w:r>
      <w:r>
        <w:rPr>
          <w:rFonts w:ascii="Times New Roman" w:eastAsia="Times New Roman" w:hAnsi="Times New Roman" w:cs="Times New Roman"/>
        </w:rPr>
        <w:t>“</w:t>
      </w:r>
      <w:r>
        <w:rPr>
          <w:rFonts w:ascii="SimSun" w:eastAsia="SimSun" w:hAnsi="SimSun" w:cs="SimSun"/>
        </w:rPr>
        <w:t>奖、贷、勤、补、免</w:t>
      </w:r>
      <w:r>
        <w:rPr>
          <w:rFonts w:ascii="Times New Roman" w:eastAsia="Times New Roman" w:hAnsi="Times New Roman" w:cs="Times New Roman"/>
        </w:rPr>
        <w:t>”</w:t>
      </w:r>
      <w:r>
        <w:rPr>
          <w:rFonts w:ascii="SimSun" w:eastAsia="SimSun" w:hAnsi="SimSun" w:cs="SimSun"/>
        </w:rPr>
        <w:t>五位一体的解困资助体系。其中包含奖学金、单项奖、勤工助学、学费减免、临时困难补助等具体措施。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本科专业：英语、俄语、西班牙语、波兰语、俄语（外国语言文学类中外合作办学）专业只招英语语种考生，其他专业外语语种不限。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外语类专业口语加试要求：英语、日语、俄语、西班牙语、波兰语、俄语（外国语言文学类中外合作办学）专业需参加高考外语口试，成绩不合格者不能录取。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所有招生专业不限男女比例。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所有考生必须参加所在地区组织的高考体检，我校按照《普通高等学校招生体检工作指导意见》及有关补充规定执行。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学校以全国普通高等学校招生统一考试的成绩为依据，严格执行各省（区、市）确定的分数线。录取时，在实行按顺序志愿投档的省（区、市），原则上在本校招生计划数的</w:t>
      </w:r>
      <w:r>
        <w:rPr>
          <w:rFonts w:ascii="Times New Roman" w:eastAsia="Times New Roman" w:hAnsi="Times New Roman" w:cs="Times New Roman"/>
        </w:rPr>
        <w:t>120%</w:t>
      </w:r>
      <w:r>
        <w:rPr>
          <w:rFonts w:ascii="SimSun" w:eastAsia="SimSun" w:hAnsi="SimSun" w:cs="SimSun"/>
        </w:rPr>
        <w:t>以内调阅考生档案；在实行平行志愿投档的省（区、市），原则上按本校招生计划数的</w:t>
      </w:r>
      <w:r>
        <w:rPr>
          <w:rFonts w:ascii="Times New Roman" w:eastAsia="Times New Roman" w:hAnsi="Times New Roman" w:cs="Times New Roman"/>
        </w:rPr>
        <w:t>100%</w:t>
      </w:r>
      <w:r>
        <w:rPr>
          <w:rFonts w:ascii="SimSun" w:eastAsia="SimSun" w:hAnsi="SimSun" w:cs="SimSun"/>
        </w:rPr>
        <w:t>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接收考生电子档案原则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按顺序志愿投档的省（区、市），学校优先接收第一院校志愿考生，当第一院校志愿生源不足时，择优接收非第一志愿考生；在实行平行志愿投档的省（区、市），优先接收先投档的考生，再按未录满的招生计划依据投档顺序择优接收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录取及专业安排原则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学校对进档考生实行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对进档考生先按照投档分数从高到低排序，然后根据学校在相关省份的招生计划，以完成招生计划为基准划定学校最低录取分数线。低于学校最低录取分数线的考生作退档处理；高于学校划定的最低录取分数线，但所填报专业志愿都不能被录取，并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对划定在学校最低录取分数线上的考生（以下简称为</w:t>
      </w:r>
      <w:r>
        <w:rPr>
          <w:rFonts w:ascii="Times New Roman" w:eastAsia="Times New Roman" w:hAnsi="Times New Roman" w:cs="Times New Roman"/>
        </w:rPr>
        <w:t>“</w:t>
      </w:r>
      <w:r>
        <w:rPr>
          <w:rFonts w:ascii="SimSun" w:eastAsia="SimSun" w:hAnsi="SimSun" w:cs="SimSun"/>
        </w:rPr>
        <w:t>进线考生</w:t>
      </w:r>
      <w:r>
        <w:rPr>
          <w:rFonts w:ascii="Times New Roman" w:eastAsia="Times New Roman" w:hAnsi="Times New Roman" w:cs="Times New Roman"/>
        </w:rPr>
        <w:t>”</w:t>
      </w:r>
      <w:r>
        <w:rPr>
          <w:rFonts w:ascii="SimSun" w:eastAsia="SimSun" w:hAnsi="SimSun" w:cs="SimSun"/>
        </w:rPr>
        <w:t>），从高分到低分按照每名考生的专业志愿顺序逐一进行检索录取，当第一专业志愿不能录取时，检索其第二专业志愿，以此类推；当检索录取完所有进线考生后，对所报专业志愿都不能录取且服从专业调剂的考生，将其随机调剂到未完成计划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划定学校最低录取分数线或专业录取时，如果有投档分数相同的考生，则按同分比较原则</w:t>
      </w:r>
      <w:r>
        <w:rPr>
          <w:rFonts w:ascii="Times New Roman" w:eastAsia="Times New Roman" w:hAnsi="Times New Roman" w:cs="Times New Roman"/>
        </w:rPr>
        <w:t>(</w:t>
      </w:r>
      <w:r>
        <w:rPr>
          <w:rFonts w:ascii="SimSun" w:eastAsia="SimSun" w:hAnsi="SimSun" w:cs="SimSun"/>
        </w:rPr>
        <w:t>见本录取规则</w:t>
      </w:r>
      <w:r>
        <w:rPr>
          <w:rFonts w:ascii="Times New Roman" w:eastAsia="Times New Roman" w:hAnsi="Times New Roman" w:cs="Times New Roman"/>
        </w:rPr>
        <w:t>13)</w:t>
      </w:r>
      <w:r>
        <w:rPr>
          <w:rFonts w:ascii="SimSun" w:eastAsia="SimSun" w:hAnsi="SimSun" w:cs="SimSun"/>
        </w:rPr>
        <w:t>进行比较，择优录取。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对加分或降低分数要求投档的考生，按教育部有关文件精神和考生所在省（区、市）招生委员会（考试院）的有关规定执行。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视觉传达设计、动画、环境设计、绘画专业录取原则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取得我校专业考试合格证且省统考成绩合格的考生（吉林省考生只需省统考合格），高考文化课成绩达到所在省规定的分数线后，按综合成绩从高分到低分择优录取。综合成绩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音乐表演专业录取原则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取得我校专业考试合格证的考生（若本省有音乐类统考，须省统考成绩合格），高考文化课成绩达到所在省规定的分数线后，按专业课成绩从高分到低分择优录取。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音乐学专业录取原则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取得我校专业考试合格证的考生（若本省有音乐类统考，须省统考成绩合格），高考文化课成绩达到所在省规定的分数线后，按综合成绩从高分到低分择优录取。综合成绩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舞蹈表演专业录取原则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取得我校专业考试合格证的考生（若本省有舞蹈类统考，须省统考成绩合格），高考文化课成绩达到所在省规定的分数线后，按专业课成绩从高分到低分择优录取。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特殊教育学院招生录取原则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经教育部批准，我校特殊教育学院招生实行学校单独命题、单独录取，详见当年《长春大学特殊教育学院招生简章》。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数字媒体艺术设计专业录取原则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考生专业成绩省统考合格，高考文化课成绩达到所在省规定的分数线后，按综合成绩从高分到低分择优录取。综合成绩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中外合作办学和国际本科学术互认课程项目专业录取原则</w:t>
      </w:r>
      <w:r>
        <w:rPr>
          <w:rFonts w:ascii="Times New Roman" w:eastAsia="Times New Roman" w:hAnsi="Times New Roman" w:cs="Times New Roman"/>
        </w:rPr>
        <w:t xml:space="preserve">: </w:t>
      </w:r>
      <w:r>
        <w:rPr>
          <w:rFonts w:ascii="SimSun" w:eastAsia="SimSun" w:hAnsi="SimSun" w:cs="SimSun"/>
        </w:rPr>
        <w:t>机械工程、自动化、俄语、国际经济与贸易、工商企业管理、数字媒体艺术设计</w:t>
      </w:r>
      <w:r>
        <w:rPr>
          <w:rFonts w:ascii="Times New Roman" w:eastAsia="Times New Roman" w:hAnsi="Times New Roman" w:cs="Times New Roman"/>
        </w:rPr>
        <w:t>6</w:t>
      </w:r>
      <w:r>
        <w:rPr>
          <w:rFonts w:ascii="SimSun" w:eastAsia="SimSun" w:hAnsi="SimSun" w:cs="SimSun"/>
        </w:rPr>
        <w:t>个中外合作办学专业以及计算机科学与技术、会计学、市场营销、金融工程</w:t>
      </w:r>
      <w:r>
        <w:rPr>
          <w:rFonts w:ascii="Times New Roman" w:eastAsia="Times New Roman" w:hAnsi="Times New Roman" w:cs="Times New Roman"/>
        </w:rPr>
        <w:t>4</w:t>
      </w:r>
      <w:r>
        <w:rPr>
          <w:rFonts w:ascii="SimSun" w:eastAsia="SimSun" w:hAnsi="SimSun" w:cs="SimSun"/>
        </w:rPr>
        <w:t>个国际本科学术互认课程项目专业只录取有专业志愿的考生。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内地西藏高中班、内地新疆高中班、少数民族预科班按国家相关政策录取。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13.</w:t>
      </w:r>
      <w:r>
        <w:rPr>
          <w:rFonts w:ascii="SimSun" w:eastAsia="SimSun" w:hAnsi="SimSun" w:cs="SimSun"/>
        </w:rPr>
        <w:t>同分比较原则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非艺术类：进档考生投档分数相同时，依据我校规定的科目顺序及单科成绩择优录取。理科规定科目顺序为数学、外语、理综合、语文；文科规定科目顺序为语文、外语、文综合、数学。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艺术类：美术类各专业以及音乐学专业的进档考生综合成绩相同，音乐表演、舞蹈表演专业的进档考生专业成绩相同时，依据我校规定的科目顺序及单科成绩择优录取。美术类各专业以及音乐学专业规定科目顺序为文化课总分、专业课总分、语文、外语、综合、数学；音乐表演、舞蹈表演专业规定科目顺序为文化课总分、语文、外语、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14.</w:t>
      </w:r>
      <w:r>
        <w:rPr>
          <w:rFonts w:ascii="SimSun" w:eastAsia="SimSun" w:hAnsi="SimSun" w:cs="SimSun"/>
        </w:rPr>
        <w:t>江苏省录取要求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根据《江苏省普通高等学校招生工作意见》文件规定，我校对江苏省考生要求为必测科目成绩须达到</w:t>
      </w:r>
      <w:r>
        <w:rPr>
          <w:rFonts w:ascii="Times New Roman" w:eastAsia="Times New Roman" w:hAnsi="Times New Roman" w:cs="Times New Roman"/>
        </w:rPr>
        <w:t>“C”</w:t>
      </w:r>
      <w:r>
        <w:rPr>
          <w:rFonts w:ascii="SimSun" w:eastAsia="SimSun" w:hAnsi="SimSun" w:cs="SimSun"/>
        </w:rPr>
        <w:t>及以上（技术科目须合格），选测科目成绩须达到</w:t>
      </w:r>
      <w:r>
        <w:rPr>
          <w:rFonts w:ascii="Times New Roman" w:eastAsia="Times New Roman" w:hAnsi="Times New Roman" w:cs="Times New Roman"/>
        </w:rPr>
        <w:t>“B”</w:t>
      </w:r>
      <w:r>
        <w:rPr>
          <w:rFonts w:ascii="SimSun" w:eastAsia="SimSun" w:hAnsi="SimSun" w:cs="SimSun"/>
        </w:rPr>
        <w:t>及以上，专业录取时对考生选测科目不做要求</w:t>
      </w:r>
      <w:r>
        <w:rPr>
          <w:rFonts w:ascii="Times New Roman" w:eastAsia="Times New Roman" w:hAnsi="Times New Roman" w:cs="Times New Roman"/>
        </w:rPr>
        <w:t>,</w:t>
      </w:r>
      <w:r>
        <w:rPr>
          <w:rFonts w:ascii="SimSun" w:eastAsia="SimSun" w:hAnsi="SimSun" w:cs="SimSun"/>
        </w:rPr>
        <w:t>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江苏省艺术类考生学业水平测试科目等级要求按江苏省教育考试院规定执行。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当文化总分相同时，按照</w:t>
      </w: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从高分到低分择优录取。如果</w:t>
      </w: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再相同则依据我校规定的科目顺序及单科成绩择优录取，理科规定科目顺序为数学、外语、语文、物理、第二门选测科目；文科规定科目顺序为语文、外语、数学、历史、第二门选测科目。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原则为：将选测科目成绩</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分别对应赋分，分值为</w:t>
      </w:r>
      <w:r>
        <w:rPr>
          <w:rFonts w:ascii="Times New Roman" w:eastAsia="Times New Roman" w:hAnsi="Times New Roman" w:cs="Times New Roman"/>
        </w:rPr>
        <w:t>A+=4</w:t>
      </w:r>
      <w:r>
        <w:rPr>
          <w:rFonts w:ascii="SimSun" w:eastAsia="SimSun" w:hAnsi="SimSun" w:cs="SimSun"/>
        </w:rPr>
        <w:t>、</w:t>
      </w:r>
      <w:r>
        <w:rPr>
          <w:rFonts w:ascii="Times New Roman" w:eastAsia="Times New Roman" w:hAnsi="Times New Roman" w:cs="Times New Roman"/>
        </w:rPr>
        <w:t>A=3</w:t>
      </w:r>
      <w:r>
        <w:rPr>
          <w:rFonts w:ascii="SimSun" w:eastAsia="SimSun" w:hAnsi="SimSun" w:cs="SimSun"/>
        </w:rPr>
        <w:t>、</w:t>
      </w:r>
      <w:r>
        <w:rPr>
          <w:rFonts w:ascii="Times New Roman" w:eastAsia="Times New Roman" w:hAnsi="Times New Roman" w:cs="Times New Roman"/>
        </w:rPr>
        <w:t>B+=2</w:t>
      </w:r>
      <w:r>
        <w:rPr>
          <w:rFonts w:ascii="SimSun" w:eastAsia="SimSun" w:hAnsi="SimSun" w:cs="SimSun"/>
        </w:rPr>
        <w:t>、</w:t>
      </w:r>
      <w:r>
        <w:rPr>
          <w:rFonts w:ascii="Times New Roman" w:eastAsia="Times New Roman" w:hAnsi="Times New Roman" w:cs="Times New Roman"/>
        </w:rPr>
        <w:t>B=1</w:t>
      </w:r>
      <w:r>
        <w:rPr>
          <w:rFonts w:ascii="SimSun" w:eastAsia="SimSun" w:hAnsi="SimSun" w:cs="SimSun"/>
        </w:rPr>
        <w:t>，考生两门选测科目等级赋分值相加为最终的</w:t>
      </w: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通讯地址：吉林省长春市卫星路</w:t>
      </w:r>
      <w:r>
        <w:rPr>
          <w:rFonts w:ascii="Times New Roman" w:eastAsia="Times New Roman" w:hAnsi="Times New Roman" w:cs="Times New Roman"/>
        </w:rPr>
        <w:t>6543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0431-85250087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联系人：长春大学招生办公室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本章程由我校负责解释，未尽事宜，按照国家招生政策执行。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7.html" TargetMode="External" /><Relationship Id="rId5" Type="http://schemas.openxmlformats.org/officeDocument/2006/relationships/hyperlink" Target="http://www.gk114.com/a/gxzs/zszc/jilin/2019/0221/652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