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本章程适用于我校本年度普通高等教育的本科、专科层次招生工作。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学校全称：长春大学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卫星广场校区（东校区）地址：吉林省长春市朝阳区南湖街道卫星路社区卫星路6543号。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高新校区（西校区）地址：吉林省长春市长春高新技术产业开发区双德乡科苑社区卫星路8326号。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701"/>
        <w:gridCol w:w="3164"/>
        <w:gridCol w:w="4343"/>
      </w:tblGrid>
      <w:tr>
        <w:tblPrEx>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层次</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收费标准（元/年）</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汉语国际教育</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车辆工程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特殊教育</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政治学与行政学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公共事业管理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园林</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食品质量与安全</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机械工程（中外合作办学）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23000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学前教育（中外合作办学）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智慧健康养老服务与管理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物流管理</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工商企业管理（中外合作办学）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14000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材料科学与工程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材料科学与工程(中外合作办学)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风景园林</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电子信息工程（中外合作办学）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通信工程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信息与计算科学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智能制造工程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网络空间安全</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自动化（中外合作办学）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23000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人工智能</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机器人工程</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俄语</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西班牙语</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捷克语</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针灸推拿学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俄语（中外合作办学）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20000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波兰语</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网络与新媒体</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舞蹈表演</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视觉传达设计</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环境设计</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绘画</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动画</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5400</w:t>
            </w:r>
          </w:p>
        </w:tc>
      </w:tr>
      <w:tr>
        <w:tblPrEx>
          <w:tblW w:w="14329" w:type="dxa"/>
          <w:tblInd w:w="135" w:type="dxa"/>
          <w:tblCellMar>
            <w:top w:w="15" w:type="dxa"/>
            <w:left w:w="15" w:type="dxa"/>
            <w:bottom w:w="15" w:type="dxa"/>
            <w:right w:w="15" w:type="dxa"/>
          </w:tblCellMar>
        </w:tblPrEx>
        <w:tc>
          <w:tcPr>
            <w:tcW w:w="4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数字媒体艺术设计（中外合作办学）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高职（专科）</w:t>
            </w:r>
          </w:p>
        </w:tc>
        <w:tc>
          <w:tcPr>
            <w:tcW w:w="2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学生完成培养方案要求的教学内容，成绩合格，符合毕业条件，本科毕业生由长春大学颁发国家规定的本科毕业证书。专科毕业生由长春大学颁发国家规定的专科毕业证书。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高校学生资助政策体系内容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我校学生资助政策体系包括国家奖学金、国家励志奖学金、国家助学金、国家助学贷款、服兵役高等学校学生国家教育资助和新生入学“绿色通道”等内容。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此外，我校还设立了校内奖学金、单项奖学金、勤工助学、学费减免、临时困难补助等资助项目。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学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英语、俄语、西班牙语、波兰语、俄语（中外合作办学）专业只招英语语种考生，其他专业外语语种不限。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所有招生专业不限男女比例。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所有考生必须参加所在地区组织的高考体检，</w:t>
      </w:r>
      <w:r>
        <w:rPr>
          <w:rFonts w:ascii="Microsoft YaHei" w:eastAsia="Microsoft YaHei" w:hAnsi="Microsoft YaHei" w:cs="Microsoft YaHei"/>
          <w:color w:val="666666"/>
          <w:sz w:val="21"/>
          <w:szCs w:val="21"/>
        </w:rPr>
        <w:t>我校执行教育部、国家卫生健康委员会、中国残疾人联合会制订并下发的《普通高等学校招生体检工作指导意见》及有关补充规定。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以全国普通高等学校招生统一考试的成绩为依据，严格执行各省（区、市）确定的分数线。录取时，在实行按顺序志愿投档的省（区、市），原则上在本校招生计划数的120%以内调阅考生档案；在实行平行志愿投档的省（区、市），原则上按本校招生计划数的100%调阅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2.接收考生电子档案原则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按顺序志愿投档的省（区、市），学校优先接收第一院校志愿考生，当第一院校志愿生源不足时，择优接收非第一志愿考生；在实行平行志愿投档的省（区、市），优先接收先投档的考生，再按未录满的招生计划依据投档顺序择优接收后投档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3.对加分或降低分数要求投档的考生，按教育部有关文件精神和考生所在省（区、市）招生委员会的有关规定执行。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4.录取及专业安排原则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w:t>
      </w:r>
      <w:r>
        <w:rPr>
          <w:rFonts w:ascii="Microsoft YaHei" w:eastAsia="Microsoft YaHei" w:hAnsi="Microsoft YaHei" w:cs="Microsoft YaHei"/>
          <w:color w:val="666666"/>
          <w:sz w:val="21"/>
          <w:szCs w:val="21"/>
        </w:rPr>
        <w:t>进档考生</w:t>
      </w:r>
      <w:r>
        <w:rPr>
          <w:rFonts w:ascii="Microsoft YaHei" w:eastAsia="Microsoft YaHei" w:hAnsi="Microsoft YaHei" w:cs="Microsoft YaHei"/>
          <w:color w:val="666666"/>
          <w:sz w:val="21"/>
          <w:szCs w:val="21"/>
        </w:rPr>
        <w:t>实行“分数优先，遵循志愿”的原则录取。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学校在相关省份的招生计划，对进档考生按照投档成绩从高到低排序，以完成招生计划为基准1:1范围内，按照每名考生的专业志愿顺序逐一进行检索录取，当第一专业志愿不能录取时，检索其第二专业志愿，以此类推；当检索录取完所有范围内考生后，对所报专业志愿都未录取且服从专业调剂的考生，将其随机调剂到未完成计划的专业，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如遇考生投档成绩相同时，则按同分比较原则(见本录取规则11)进行比较录取。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（1）动画、绘画、视觉传达设计、环境设计专业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和设计学类专业省统考成绩合格的考生，高考文化课成绩达到考生所在省份规定的分数线，且根据考生所在省份规定的院校投档原则投档到我校后，再按照考生综合成绩从高分到低分择优录取。综合成绩=文化课成绩总分×60%+专业课成绩总分×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（2）音乐表演专业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音乐学类专业省统考成绩合格的考生，高考文化课成绩达到考生所在省份规定的分数线，且根据考生所在省份规定的院校投档原则投档到我校后，再按照专业课成绩从高分到低分择优录取。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（3）音乐学专业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类专业省统考成绩合格的考生，高考文化课成绩达到考生所在省份规定的分数线，且根据考生所在省份规定的院校投档原则投档到我校后，再按照综合成绩从高分到低分择优录取。综合成绩=文化课成绩总分+专业课成绩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（4）舞蹈表演专业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舞蹈学类专业省统考成绩合格的考生，高考文化课成绩达到考生所在省份规定的分数线，且根据考生所在省份规定的院校投档原则投档到我校后，再按照专业课成绩从高分到低分择优录取。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残障生单考单招</w:t>
      </w:r>
      <w:r>
        <w:rPr>
          <w:rFonts w:ascii="Microsoft YaHei" w:eastAsia="Microsoft YaHei" w:hAnsi="Microsoft YaHei" w:cs="Microsoft YaHei"/>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经教育部批准，我校残障生单考单招实行学校单独命题、单独录取，详见当年《长春大学高等特殊教育招生简章》。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7.中外合作办学专业录取原则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我校中外合作办学专业在相关招生省份都已申请单独设置投档单位（专业组）。对进档但未满足专业志愿且服从专业调剂的考生，只在投档单位（专业组）内进行专业调剂。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8.内地西藏高中班、内地新疆高中班、少数民族预科班按国家相关政策录取。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9.内蒙古自治区录取要求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10.高考改革试点省（市）的录取要求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按照学校公布的选考科目要求，执行该省（市）公布的2022年普通高校招生录取工作方案和有关办法。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11.同分比较原则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非高考改革省份的非艺术类专业：进档考生投档成绩相同时，依据我校规定的科目顺序及单科成绩择优录取。理科规定科目顺序为数学、语文、外语、理综合；文科规定科目顺序为语文、数学、外语、文综合。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非高考改革省份的艺术类专业：动画、绘画、视觉传达设计、环境设计以及音乐学专业的进档考生按学校专业录取原则计算的综合成绩相同，音乐表演、舞蹈表演专业的进档考生专业课成绩相同时，依据我校规定的科目顺序及单科成绩择优录取。动画、绘画、视觉传达设计、环境设计以及音乐学专业规定科目顺序为文化课总分、专业课总分、语文、数学、外语、综合；音乐表演、舞蹈表演专业规定科目顺序为文化课总分、语文、数学、外语、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省份的非艺术类专业：采用“3+3”模式的省份，进档考生投档成绩相同时，依据我校规定的科目顺序及单科成绩择优录取。依次为数学、语文、外语、单科最高成绩的选考科目、单科次高成绩的选考科目、单科第三高成绩的选考科目。采用“3+1+2”模式的省份，进档考生投档分数相同时，依据我校规定的科目顺序及单科成绩择优录取。依次为数学、语文、外语、首选科目、单科最高成绩的再选科目、单科次高成绩的再选科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省份的艺术类专业：采用“3+3”模式的省份，动画、绘画、视觉传达设计、环境设计以及音乐学专业的进档考生按学校专业录取原则计算的综合成绩相同，音乐表演、舞蹈表演专业的进档考生专业课成绩相同时，依据我校规定的科目顺序及单科成绩择优录取。动画、绘画、视觉传达设计、环境设计以及音乐学专业规定科目顺序为文化课总分、专业课总分、语文、数学、外语、单科最高成绩的选考科目、单科次高成绩的选考科目、单科第三高成绩的选考科目；音乐表演、舞蹈表演专业规定科目顺序为文化课总分、语文、数学、外语、单科最高成绩的选考科目、单科次高成绩的选考科目、单科第三高成绩的选考科目。采用“3+1+2”模式的省份，动画、绘画、视觉传达设计、环境设计以及音乐学专业的进档考生按学校专业录取原则计算的综合成绩相同，音乐表演、舞蹈表演专业的进档考生专业课成绩相同时，依据我校规定的科目顺序及单科成绩择优录取。动画、绘画、视觉传达设计、环境设计以及音乐学专业规定科目顺序为文化课总分、专业课总分、语文、数学、外语、首选科目、单科最高成绩的再选科目、单科次高成绩的再选科目；音乐表演、舞蹈表演专业规定科目顺序为文化课总分、语文、数学、外语、首选科目、单科最高成绩的再选科目、单科次高成绩的再选科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http://www.ccu.edu.cn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通讯地址：吉林省长春市卫星路6543号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邮政编码：130022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联系电话：0431-85250087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联系人：长春大学招生办公室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本章程由我校负责解释，未尽事宜，按照国家招生政策执行</w:t>
      </w:r>
      <w:r>
        <w:rPr>
          <w:rFonts w:ascii="Microsoft YaHei" w:eastAsia="Microsoft YaHei" w:hAnsi="Microsoft YaHei" w:cs="Microsoft YaHei"/>
          <w:color w:val="666666"/>
          <w:sz w:val="21"/>
          <w:szCs w:val="21"/>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0.html" TargetMode="External" /><Relationship Id="rId11" Type="http://schemas.openxmlformats.org/officeDocument/2006/relationships/hyperlink" Target="http://www.gk114.com/a/gxzs/zszc/jilin/2022/0508/22379.html" TargetMode="External" /><Relationship Id="rId12" Type="http://schemas.openxmlformats.org/officeDocument/2006/relationships/hyperlink" Target="http://www.gk114.com/a/gxzs/zszc/jilin/2022/0508/22378.html" TargetMode="External" /><Relationship Id="rId13" Type="http://schemas.openxmlformats.org/officeDocument/2006/relationships/hyperlink" Target="http://www.gk114.com/a/gxzs/zszc/jilin/2022/0508/22377.html" TargetMode="External" /><Relationship Id="rId14" Type="http://schemas.openxmlformats.org/officeDocument/2006/relationships/hyperlink" Target="http://www.gk114.com/a/gxzs/zszc/jilin/2022/0508/22376.html" TargetMode="External" /><Relationship Id="rId15" Type="http://schemas.openxmlformats.org/officeDocument/2006/relationships/hyperlink" Target="http://www.gk114.com/a/gxzs/zszc/jilin/2022/0508/22372.html" TargetMode="External" /><Relationship Id="rId16" Type="http://schemas.openxmlformats.org/officeDocument/2006/relationships/hyperlink" Target="http://www.gk114.com/a/gxzs/zszc/jilin/2022/0508/22354.html" TargetMode="External" /><Relationship Id="rId17" Type="http://schemas.openxmlformats.org/officeDocument/2006/relationships/hyperlink" Target="http://www.gk114.com/a/gxzs/zszc/jilin/2021/0606/19769.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ccu.edu.cn/" TargetMode="External" /><Relationship Id="rId5" Type="http://schemas.openxmlformats.org/officeDocument/2006/relationships/hyperlink" Target="http://www.gk114.com/a/gxzs/zszc/jilin/2022/0508/22373.html" TargetMode="External" /><Relationship Id="rId6" Type="http://schemas.openxmlformats.org/officeDocument/2006/relationships/hyperlink" Target="http://www.gk114.com/a/gxzs/zszc/jilin/2022/0508/22375.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