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长春工业大学人文信息学院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学校全称：长春工业大学人文信息学院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学校地址：吉林省长春市净月国家高新技术产业开发区福祉大街（路）</w:t>
      </w:r>
      <w:r>
        <w:rPr>
          <w:rFonts w:ascii="Times New Roman" w:eastAsia="Times New Roman" w:hAnsi="Times New Roman" w:cs="Times New Roman"/>
        </w:rPr>
        <w:t>1016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市场营销专业学费标准为每生每学年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电子商务专业学费标准为每生每学年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工商管理专业学费标准为每生每学年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会计学专业学费标准为每生每学年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物流管理专业学费标准为每生每学年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财务管理专业学费标准为每生每学年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人力资源管理专业学费标准为每生每学年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工程造价专业学费标准为每生每学年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工程管理专业学费标准为每生每学年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制药工程专业学费标准为每生每学年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土木工程专业学费标准为每生每学年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法学专业学费标准为每生每学年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国际经济与贸易专业学费标准为每生每学年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汽车服务工程专业学费标准为每生每学年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金融学专业学费标准为每生每学年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机械设计制造及其自动化专业学费标准为每生每学年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车辆工程专业学费标准为每生每学年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电子信息工程专业学费标准为每生每学年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自动化专业学费标准为每生每学年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计算机科学与技术专业学费标准为每生每学年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软件工程专业学费标准为每生每学年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轨道交通信号与控制专业学费标准为每生每学年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通信工程专业学费标准为每生每学年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商务英语专业学费标准为每生每学年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视觉传达设计专业学费标准为每生每学年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环境设计专业学费标准为每生每学年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日语专业学费标准为每生每学年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数据科学与大数据技术专业学费标准为每生每学年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机器人工程专业学费标准为每生每学年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学生完成培养方案要求的教学内容，成绩合格，符合毕业条件，本科毕业生由长春工业大学人文信息学院颁发国家规定的本科毕业证书。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入学前，家庭经济困难学生可在家庭户籍所在地的县（市、区）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为了切实保证家庭经济困难学生顺利入学，在新生入学期间建立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制度，即对被录取入学、经济困难的新生，在入学报到等环节安排有专人接待，帮助新生及家长解读国家资助的相关政策和规定，协助其办理国家助学贷款手续。学院学生资助管理中心电话：</w:t>
      </w:r>
      <w:r>
        <w:rPr>
          <w:rFonts w:ascii="Times New Roman" w:eastAsia="Times New Roman" w:hAnsi="Times New Roman" w:cs="Times New Roman"/>
        </w:rPr>
        <w:t>0431-84535021</w:t>
      </w:r>
      <w:r>
        <w:rPr>
          <w:rFonts w:ascii="SimSun" w:eastAsia="SimSun" w:hAnsi="SimSun" w:cs="SimSun"/>
        </w:rPr>
        <w:t>。对家庭经济困难的新生，经系内家庭经济困难学生认定评审小组认定，学生工作处根据家庭经济困难学生认定的相关规定严格审核，视情况给予相应的帮助，努力做到不让一名学生因家庭贫困而失学，并保证家庭经济困难的学生顺利完成大学四年的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学生是指学生本人及其家庭所能筹集到的资金，难以支付其在校学习期间学习和生活基本费用的学生。学生需主动向学校说明家庭实际的经济状况，由学校根据有关部门设置的标准和规定的程序，以民主评议方式认定。学生在申请家庭经济困难认定时，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同时，我校从学费收入中足额提取</w:t>
      </w:r>
      <w:r>
        <w:rPr>
          <w:rFonts w:ascii="Times New Roman" w:eastAsia="Times New Roman" w:hAnsi="Times New Roman" w:cs="Times New Roman"/>
        </w:rPr>
        <w:t>5%</w:t>
      </w:r>
      <w:r>
        <w:rPr>
          <w:rFonts w:ascii="SimSun" w:eastAsia="SimSun" w:hAnsi="SimSun" w:cs="SimSun"/>
        </w:rPr>
        <w:t>的经费用于资助家庭经济困难学生。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除商务英语专业、英语专业只招英语外语语种考生外，其它专业不限外语语种。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严格执行教育部制定的普通高等学校招生录取政策。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开设的所有专业均无单科成绩限制。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以内。按照平行志愿投档的批次，学校调阅考生档案的比例原则上控制在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优先录取第一志愿的考生；在第一志愿生源不足的情况下，按投档顺序，依次接收非第一志愿考生，择优录取，无分数级差要求并按照各省（市、自治区）招办投档原则录取。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照顾加分项，对享受政策性加分或者降分投档的考生，按所在省（市、区）招生考试机构的规定投档，在专业录取时按投档分数进行排序，优先录取实考分高的考生。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考生等效分数相同时，普通类考生则按单科顺序及分数从高到低排序。文史类以语文、外语、数学、文科综合为顺序，科目成绩高者优先录取；理工类以数学、外语、语文、理科综合为顺序，科目成绩高者优先录取。艺术类考生先比较专业课成绩，后比较文化课成绩（科目顺序与普通文史类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专业录取</w:t>
      </w:r>
      <w:r>
        <w:rPr>
          <w:rFonts w:ascii="Times New Roman" w:eastAsia="Times New Roman" w:hAnsi="Times New Roman" w:cs="Times New Roman"/>
        </w:rPr>
        <w:t xml:space="preserve">: </w:t>
      </w:r>
      <w:r>
        <w:rPr>
          <w:rFonts w:ascii="SimSun" w:eastAsia="SimSun" w:hAnsi="SimSun" w:cs="SimSun"/>
        </w:rPr>
        <w:t>凡第一志愿报考我校的考生，均满足除会计学、财务管理、金融学以外的专业志愿要求。会计学、财务管理、金融学专业按招生计划择优录取，额满为止。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对于江苏省进档后的考生采用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的原则安排专业。普通类专业要求选修测试科目等级</w:t>
      </w:r>
      <w:r>
        <w:rPr>
          <w:rFonts w:ascii="Times New Roman" w:eastAsia="Times New Roman" w:hAnsi="Times New Roman" w:cs="Times New Roman"/>
        </w:rPr>
        <w:t>CC</w:t>
      </w:r>
      <w:r>
        <w:rPr>
          <w:rFonts w:ascii="SimSun" w:eastAsia="SimSun" w:hAnsi="SimSun" w:cs="SimSun"/>
        </w:rPr>
        <w:t>及以上</w:t>
      </w:r>
      <w:r>
        <w:rPr>
          <w:rFonts w:ascii="Times New Roman" w:eastAsia="Times New Roman" w:hAnsi="Times New Roman" w:cs="Times New Roman"/>
        </w:rPr>
        <w:t>,</w:t>
      </w:r>
      <w:r>
        <w:rPr>
          <w:rFonts w:ascii="SimSun" w:eastAsia="SimSun" w:hAnsi="SimSun" w:cs="SimSun"/>
        </w:rPr>
        <w:t>必修测试科目等级</w:t>
      </w:r>
      <w:r>
        <w:rPr>
          <w:rFonts w:ascii="Times New Roman" w:eastAsia="Times New Roman" w:hAnsi="Times New Roman" w:cs="Times New Roman"/>
        </w:rPr>
        <w:t>4C</w:t>
      </w:r>
      <w:r>
        <w:rPr>
          <w:rFonts w:ascii="SimSun" w:eastAsia="SimSun" w:hAnsi="SimSun" w:cs="SimSun"/>
        </w:rPr>
        <w:t>，技术科目合格。如普通类进档考生投档分（语文、数学、外语三科成绩之和）相同，则按照单科顺序及分数从高到低排序，文史类以语文（含附加分）、外语、数学为顺序，理工类以数学（含附加分）、外语、语文为顺序，科目成绩高者优先录取。如普通类进档考生总分及各科目分数均相同则结合考生两门选修测试科目等级择优录取，优先录取的等级顺序为</w:t>
      </w:r>
      <w:r>
        <w:rPr>
          <w:rFonts w:ascii="Times New Roman" w:eastAsia="Times New Roman" w:hAnsi="Times New Roman" w:cs="Times New Roman"/>
        </w:rPr>
        <w:t>A+A+→A+A→AA+→A+B+→AA→B+A+→A+B→AB+→B+A→BA+→A+C→AB→B+B+→BA→CA+→AC→B+B→BB+→CA→B+C→BB→CB+→BC→CB→CC</w:t>
      </w:r>
      <w:r>
        <w:rPr>
          <w:rFonts w:ascii="SimSun" w:eastAsia="SimSun" w:hAnsi="SimSun" w:cs="SimSun"/>
        </w:rPr>
        <w:t>；如选修测试科目等级仍相同，则比较考生四门必修测试科目等级之和（</w:t>
      </w:r>
      <w:r>
        <w:rPr>
          <w:rFonts w:ascii="Times New Roman" w:eastAsia="Times New Roman" w:hAnsi="Times New Roman" w:cs="Times New Roman"/>
        </w:rPr>
        <w:t>A</w:t>
      </w:r>
      <w:r>
        <w:rPr>
          <w:rFonts w:ascii="SimSun" w:eastAsia="SimSun" w:hAnsi="SimSun" w:cs="SimSun"/>
        </w:rPr>
        <w:t>等级赋</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等级赋</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等级赋</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D</w:t>
      </w:r>
      <w:r>
        <w:rPr>
          <w:rFonts w:ascii="SimSun" w:eastAsia="SimSun" w:hAnsi="SimSun" w:cs="SimSun"/>
        </w:rPr>
        <w:t>等级不赋分）。若考生四门必修测试科目等级之和再相同，则结合综合素质评价等其他指标决定考生录取与否及所录取专业。艺术类专业要求必修测试科目等级</w:t>
      </w:r>
      <w:r>
        <w:rPr>
          <w:rFonts w:ascii="Times New Roman" w:eastAsia="Times New Roman" w:hAnsi="Times New Roman" w:cs="Times New Roman"/>
        </w:rPr>
        <w:t>D</w:t>
      </w:r>
      <w:r>
        <w:rPr>
          <w:rFonts w:ascii="SimSun" w:eastAsia="SimSun" w:hAnsi="SimSun" w:cs="SimSun"/>
        </w:rPr>
        <w:t>不超过</w:t>
      </w:r>
      <w:r>
        <w:rPr>
          <w:rFonts w:ascii="Times New Roman" w:eastAsia="Times New Roman" w:hAnsi="Times New Roman" w:cs="Times New Roman"/>
        </w:rPr>
        <w:t>3</w:t>
      </w:r>
      <w:r>
        <w:rPr>
          <w:rFonts w:ascii="SimSun" w:eastAsia="SimSun" w:hAnsi="SimSun" w:cs="SimSun"/>
        </w:rPr>
        <w:t>门。如艺术类进档考生投档分（投档分</w:t>
      </w:r>
      <w:r>
        <w:rPr>
          <w:rFonts w:ascii="Times New Roman" w:eastAsia="Times New Roman" w:hAnsi="Times New Roman" w:cs="Times New Roman"/>
        </w:rPr>
        <w:t>=</w:t>
      </w:r>
      <w:r>
        <w:rPr>
          <w:rFonts w:ascii="SimSun" w:eastAsia="SimSun" w:hAnsi="SimSun" w:cs="SimSun"/>
        </w:rPr>
        <w:t>文化课总分</w:t>
      </w:r>
      <w:r>
        <w:rPr>
          <w:rFonts w:ascii="Times New Roman" w:eastAsia="Times New Roman" w:hAnsi="Times New Roman" w:cs="Times New Roman"/>
        </w:rPr>
        <w:t>+</w:t>
      </w:r>
      <w:r>
        <w:rPr>
          <w:rFonts w:ascii="SimSun" w:eastAsia="SimSun" w:hAnsi="SimSun" w:cs="SimSun"/>
        </w:rPr>
        <w:t>专业课总分）相同则比较专业课总分，若专业课总分相同则比较文化课总分，若文化课总分相同则以语文（不含附加分）、外语、数学为顺序依次比较单科成绩，科目成绩高者优先录取。艺术类进档考生投档分、专业课总分、文化课总分及各科目（语文不含附加分）成绩均相同，则比较考生四门必修测试科目等级之和（</w:t>
      </w:r>
      <w:r>
        <w:rPr>
          <w:rFonts w:ascii="Times New Roman" w:eastAsia="Times New Roman" w:hAnsi="Times New Roman" w:cs="Times New Roman"/>
        </w:rPr>
        <w:t>A</w:t>
      </w:r>
      <w:r>
        <w:rPr>
          <w:rFonts w:ascii="SimSun" w:eastAsia="SimSun" w:hAnsi="SimSun" w:cs="SimSun"/>
        </w:rPr>
        <w:t>等级赋</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等级赋</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等级赋</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D</w:t>
      </w:r>
      <w:r>
        <w:rPr>
          <w:rFonts w:ascii="SimSun" w:eastAsia="SimSun" w:hAnsi="SimSun" w:cs="SimSun"/>
        </w:rPr>
        <w:t>等级不赋分）。若考生四门必修测试科目等级之和再相同，则结合综合素质评价等其他指标决定考生录取与否及所录取专业。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艺术类录取原则：报考艺术类专业的考生必须参加所在省艺术类专业联考并取得合格证书，同时文化课成绩达到所在省艺术类本科录取控制分数线以上，根据考生所在省确定的录取原则，录取时按投档成绩从高到低依次录取（录取时吉林省艺术类专业按投档考生的总分</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http://www.ccutchi.com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通讯地址：吉林省长春净月国家高新技术产业开发区福祉大路</w:t>
      </w:r>
      <w:r>
        <w:rPr>
          <w:rFonts w:ascii="Times New Roman" w:eastAsia="Times New Roman" w:hAnsi="Times New Roman" w:cs="Times New Roman"/>
        </w:rPr>
        <w:t>1016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0431-84535106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联系人：张老师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本章程未尽事宜，按照国家招生政策执行，此章程由长春工业大学人文信息学院负责解释。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年长春财经学院招生章程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大连工业大学艺术与信息工程学院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222.html" TargetMode="External" /><Relationship Id="rId11" Type="http://schemas.openxmlformats.org/officeDocument/2006/relationships/hyperlink" Target="http://www.gk114.com/a/gxzs/zszc/liaoning/2021/0328/19211.html" TargetMode="External" /><Relationship Id="rId12" Type="http://schemas.openxmlformats.org/officeDocument/2006/relationships/hyperlink" Target="http://www.gk114.com/a/gxzs/zszc/liaoning/2021/0328/19187.html" TargetMode="External" /><Relationship Id="rId13" Type="http://schemas.openxmlformats.org/officeDocument/2006/relationships/hyperlink" Target="http://www.gk114.com/a/gxzs/zszc/liaoning/2019/0625/10228.html" TargetMode="External" /><Relationship Id="rId14" Type="http://schemas.openxmlformats.org/officeDocument/2006/relationships/hyperlink" Target="http://www.gk114.com/a/gxzs/zszc/liaoning/2019/0625/10223.html" TargetMode="External" /><Relationship Id="rId15" Type="http://schemas.openxmlformats.org/officeDocument/2006/relationships/hyperlink" Target="http://www.gk114.com/a/gxzs/zszc/liaoning/2019/0625/10221.html" TargetMode="External" /><Relationship Id="rId16" Type="http://schemas.openxmlformats.org/officeDocument/2006/relationships/hyperlink" Target="http://www.gk114.com/a/gxzs/zszc/liaoning/2019/0625/1021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6.html" TargetMode="External" /><Relationship Id="rId5" Type="http://schemas.openxmlformats.org/officeDocument/2006/relationships/hyperlink" Target="http://www.gk114.com/a/gxzs/zszc/liaoning/2019/0625/1021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510/19579.html" TargetMode="External" /><Relationship Id="rId8" Type="http://schemas.openxmlformats.org/officeDocument/2006/relationships/hyperlink" Target="http://www.gk114.com/a/gxzs/zszc/liaoning/2021/0510/19574.html" TargetMode="External" /><Relationship Id="rId9" Type="http://schemas.openxmlformats.org/officeDocument/2006/relationships/hyperlink" Target="http://www.gk114.com/a/gxzs/zszc/liaoning/2021/0328/192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