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长春工业大学人文信息学院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为保证</w:t>
      </w:r>
      <w:r>
        <w:rPr>
          <w:rFonts w:ascii="Microsoft YaHei" w:eastAsia="Microsoft YaHei" w:hAnsi="Microsoft YaHei" w:cs="Microsoft YaHei"/>
          <w:color w:val="666666"/>
          <w:sz w:val="21"/>
          <w:szCs w:val="21"/>
        </w:rPr>
        <w:t>长春工业大学人文信息学院</w:t>
      </w:r>
      <w:r>
        <w:rPr>
          <w:rFonts w:ascii="Microsoft YaHei" w:eastAsia="Microsoft YaHei" w:hAnsi="Microsoft YaHei" w:cs="Microsoft YaHei"/>
          <w:color w:val="666666"/>
          <w:sz w:val="21"/>
          <w:szCs w:val="21"/>
        </w:rPr>
        <w:t>本科招生工作顺利进行，维护考生合法权益，规范招生</w:t>
      </w:r>
      <w:r>
        <w:rPr>
          <w:rFonts w:ascii="Microsoft YaHei" w:eastAsia="Microsoft YaHei" w:hAnsi="Microsoft YaHei" w:cs="Microsoft YaHei"/>
          <w:color w:val="666666"/>
          <w:sz w:val="21"/>
          <w:szCs w:val="21"/>
        </w:rPr>
        <w:t>原则</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本章程所指的招生工作适用于</w:t>
      </w:r>
      <w:r>
        <w:rPr>
          <w:rFonts w:ascii="Microsoft YaHei" w:eastAsia="Microsoft YaHei" w:hAnsi="Microsoft YaHei" w:cs="Microsoft YaHei"/>
          <w:color w:val="666666"/>
          <w:sz w:val="21"/>
          <w:szCs w:val="21"/>
        </w:rPr>
        <w:t>今年</w:t>
      </w:r>
      <w:r>
        <w:rPr>
          <w:rFonts w:ascii="Microsoft YaHei" w:eastAsia="Microsoft YaHei" w:hAnsi="Microsoft YaHei" w:cs="Microsoft YaHei"/>
          <w:color w:val="666666"/>
          <w:sz w:val="21"/>
          <w:szCs w:val="21"/>
        </w:rPr>
        <w:t>普通本科层次招生工作。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学校全称：长春工业大学人文信息学院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层</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办学类型：民办独立学院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学校地址：吉林省长春市</w:t>
      </w:r>
      <w:r>
        <w:rPr>
          <w:rFonts w:ascii="Microsoft YaHei" w:eastAsia="Microsoft YaHei" w:hAnsi="Microsoft YaHei" w:cs="Microsoft YaHei"/>
          <w:color w:val="666666"/>
          <w:sz w:val="21"/>
          <w:szCs w:val="21"/>
        </w:rPr>
        <w:t>长春</w:t>
      </w:r>
      <w:r>
        <w:rPr>
          <w:rFonts w:ascii="Microsoft YaHei" w:eastAsia="Microsoft YaHei" w:hAnsi="Microsoft YaHei" w:cs="Microsoft YaHei"/>
          <w:color w:val="666666"/>
          <w:sz w:val="21"/>
          <w:szCs w:val="21"/>
        </w:rPr>
        <w:t>净月高新技术产业开发区</w:t>
      </w:r>
      <w:r>
        <w:rPr>
          <w:rFonts w:ascii="Microsoft YaHei" w:eastAsia="Microsoft YaHei" w:hAnsi="Microsoft YaHei" w:cs="Microsoft YaHei"/>
          <w:color w:val="666666"/>
          <w:sz w:val="21"/>
          <w:szCs w:val="21"/>
        </w:rPr>
        <w:t>永兴街道潭南社区</w:t>
      </w:r>
      <w:r>
        <w:rPr>
          <w:rFonts w:ascii="Microsoft YaHei" w:eastAsia="Microsoft YaHei" w:hAnsi="Microsoft YaHei" w:cs="Microsoft YaHei"/>
          <w:color w:val="666666"/>
          <w:sz w:val="21"/>
          <w:szCs w:val="21"/>
        </w:rPr>
        <w:t>福祉大路</w:t>
      </w:r>
      <w:r>
        <w:rPr>
          <w:rFonts w:ascii="Microsoft YaHei" w:eastAsia="Microsoft YaHei" w:hAnsi="Microsoft YaHei" w:cs="Microsoft YaHei"/>
          <w:color w:val="666666"/>
          <w:sz w:val="21"/>
          <w:szCs w:val="21"/>
        </w:rPr>
        <w:t>1016号。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电子商务专业学费标准为每生每学年</w:t>
      </w:r>
      <w:r>
        <w:rPr>
          <w:rFonts w:ascii="Microsoft YaHei" w:eastAsia="Microsoft YaHei" w:hAnsi="Microsoft YaHei" w:cs="Microsoft YaHei"/>
          <w:color w:val="666666"/>
          <w:sz w:val="21"/>
          <w:szCs w:val="21"/>
        </w:rPr>
        <w:t>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市场营销专业学费标准为每生每学年</w:t>
      </w:r>
      <w:r>
        <w:rPr>
          <w:rFonts w:ascii="Microsoft YaHei" w:eastAsia="Microsoft YaHei" w:hAnsi="Microsoft YaHei" w:cs="Microsoft YaHei"/>
          <w:color w:val="666666"/>
          <w:sz w:val="21"/>
          <w:szCs w:val="21"/>
        </w:rPr>
        <w:t>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工商管理专业学费标准为每生每学年</w:t>
      </w:r>
      <w:r>
        <w:rPr>
          <w:rFonts w:ascii="Microsoft YaHei" w:eastAsia="Microsoft YaHei" w:hAnsi="Microsoft YaHei" w:cs="Microsoft YaHei"/>
          <w:color w:val="666666"/>
          <w:sz w:val="21"/>
          <w:szCs w:val="21"/>
        </w:rPr>
        <w:t>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物流管理专业学费标准为每生每学年</w:t>
      </w:r>
      <w:r>
        <w:rPr>
          <w:rFonts w:ascii="Microsoft YaHei" w:eastAsia="Microsoft YaHei" w:hAnsi="Microsoft YaHei" w:cs="Microsoft YaHei"/>
          <w:color w:val="666666"/>
          <w:sz w:val="21"/>
          <w:szCs w:val="21"/>
        </w:rPr>
        <w:t>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人力资源管理专业学费标准为每生每学年</w:t>
      </w:r>
      <w:r>
        <w:rPr>
          <w:rFonts w:ascii="Microsoft YaHei" w:eastAsia="Microsoft YaHei" w:hAnsi="Microsoft YaHei" w:cs="Microsoft YaHei"/>
          <w:color w:val="666666"/>
          <w:sz w:val="21"/>
          <w:szCs w:val="21"/>
        </w:rPr>
        <w:t>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会计学专业学费标准为每生每学年</w:t>
      </w:r>
      <w:r>
        <w:rPr>
          <w:rFonts w:ascii="Microsoft YaHei" w:eastAsia="Microsoft YaHei" w:hAnsi="Microsoft YaHei" w:cs="Microsoft YaHei"/>
          <w:color w:val="666666"/>
          <w:sz w:val="21"/>
          <w:szCs w:val="21"/>
        </w:rPr>
        <w:t>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财务管理专业学费标准为每生每学年</w:t>
      </w:r>
      <w:r>
        <w:rPr>
          <w:rFonts w:ascii="Microsoft YaHei" w:eastAsia="Microsoft YaHei" w:hAnsi="Microsoft YaHei" w:cs="Microsoft YaHei"/>
          <w:color w:val="666666"/>
          <w:sz w:val="21"/>
          <w:szCs w:val="21"/>
        </w:rPr>
        <w:t>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工程管理专业学费标准为每生每学年</w:t>
      </w:r>
      <w:r>
        <w:rPr>
          <w:rFonts w:ascii="Microsoft YaHei" w:eastAsia="Microsoft YaHei" w:hAnsi="Microsoft YaHei" w:cs="Microsoft YaHei"/>
          <w:color w:val="666666"/>
          <w:sz w:val="21"/>
          <w:szCs w:val="21"/>
        </w:rPr>
        <w:t>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工程造价专业学费标准为每生每学年</w:t>
      </w:r>
      <w:r>
        <w:rPr>
          <w:rFonts w:ascii="Microsoft YaHei" w:eastAsia="Microsoft YaHei" w:hAnsi="Microsoft YaHei" w:cs="Microsoft YaHei"/>
          <w:color w:val="666666"/>
          <w:sz w:val="21"/>
          <w:szCs w:val="21"/>
        </w:rPr>
        <w:t>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制药工程专业学费标准为每生每学年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土木工程专业学费标准为每生每学年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智能建造专业学费标准为每生每学年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机械工程专业学费标准为每生每学年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机械设计制造及其自动化专业学费标准为每生每学年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智能制造工程专业学费标准为每生每学年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车辆工程专业学费标准为每生每学年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新能源汽车工程专业学费标准为每生每学年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智能车辆工程专业学费标准为每生每学年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法学专业学费标准为每生每学年</w:t>
      </w:r>
      <w:r>
        <w:rPr>
          <w:rFonts w:ascii="Microsoft YaHei" w:eastAsia="Microsoft YaHei" w:hAnsi="Microsoft YaHei" w:cs="Microsoft YaHei"/>
          <w:color w:val="666666"/>
          <w:sz w:val="21"/>
          <w:szCs w:val="21"/>
        </w:rPr>
        <w:t>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国际经济与贸易专业学费标准为每生每学年</w:t>
      </w:r>
      <w:r>
        <w:rPr>
          <w:rFonts w:ascii="Microsoft YaHei" w:eastAsia="Microsoft YaHei" w:hAnsi="Microsoft YaHei" w:cs="Microsoft YaHei"/>
          <w:color w:val="666666"/>
          <w:sz w:val="21"/>
          <w:szCs w:val="21"/>
        </w:rPr>
        <w:t>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金融学专业学费标准为每生每学年</w:t>
      </w:r>
      <w:r>
        <w:rPr>
          <w:rFonts w:ascii="Microsoft YaHei" w:eastAsia="Microsoft YaHei" w:hAnsi="Microsoft YaHei" w:cs="Microsoft YaHei"/>
          <w:color w:val="666666"/>
          <w:sz w:val="21"/>
          <w:szCs w:val="21"/>
        </w:rPr>
        <w:t>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自动化专业学费标准为每生每学年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电气工程及其自动化专业学费标准为每生每学年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轨道交通信号与控制专业学费标准为每生每学年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机器人工程专业学费标准为每生每学年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计算机科学与技术专业学费标准为每生每学年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软件工程专业学费标准为每生每学年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数据科学与大数据技术专业学费标准为每生每学年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电子信息工程专业学费标准为每生每学年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人工智能专业学费标准为每生每学年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英语专业学费标准为每生每学年</w:t>
      </w:r>
      <w:r>
        <w:rPr>
          <w:rFonts w:ascii="Microsoft YaHei" w:eastAsia="Microsoft YaHei" w:hAnsi="Microsoft YaHei" w:cs="Microsoft YaHei"/>
          <w:color w:val="666666"/>
          <w:sz w:val="21"/>
          <w:szCs w:val="21"/>
        </w:rPr>
        <w:t>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商务英语专业学费标准为每生每学年</w:t>
      </w:r>
      <w:r>
        <w:rPr>
          <w:rFonts w:ascii="Microsoft YaHei" w:eastAsia="Microsoft YaHei" w:hAnsi="Microsoft YaHei" w:cs="Microsoft YaHei"/>
          <w:color w:val="666666"/>
          <w:sz w:val="21"/>
          <w:szCs w:val="21"/>
        </w:rPr>
        <w:t>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日语专业学费标准为每生每学年</w:t>
      </w:r>
      <w:r>
        <w:rPr>
          <w:rFonts w:ascii="Microsoft YaHei" w:eastAsia="Microsoft YaHei" w:hAnsi="Microsoft YaHei" w:cs="Microsoft YaHei"/>
          <w:color w:val="666666"/>
          <w:sz w:val="21"/>
          <w:szCs w:val="21"/>
        </w:rPr>
        <w:t>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视觉传达设计专业学费标准为每生每学年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环境设计专业学费标准为每生每学年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数字媒体艺术专业学费标准为每生每学年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学生完成培养方案要求的教学内容，成绩合格，符合毕业条件，本科毕业生由长春工业大学人文信息学院颁发国家规定的本科毕业证书。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高校学生资助政策体系内容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高校学生资助政策体系包括国家奖学金、国家励志奖学金、国家助学金、国家助学贷款、服兵役高等学校学生国家教育资助、基层就业学费补偿贷款代偿、勤工助学和</w:t>
      </w:r>
      <w:r>
        <w:rPr>
          <w:rFonts w:ascii="Microsoft YaHei" w:eastAsia="Microsoft YaHei" w:hAnsi="Microsoft YaHei" w:cs="Microsoft YaHei"/>
          <w:color w:val="666666"/>
          <w:sz w:val="21"/>
          <w:szCs w:val="21"/>
        </w:rPr>
        <w:t>“绿色通道”等内容。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此外，我校校内资助还设立有学校成才奖学金、单项奖学金、临时困难补助、伙食补贴、学费减免等</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w:t>
      </w:r>
      <w:r>
        <w:rPr>
          <w:rFonts w:ascii="Microsoft YaHei" w:eastAsia="Microsoft YaHei" w:hAnsi="Microsoft YaHei" w:cs="Microsoft YaHei"/>
          <w:color w:val="666666"/>
          <w:sz w:val="21"/>
          <w:szCs w:val="21"/>
        </w:rPr>
        <w:t>校学生资助政策申请程序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入学前，家庭经济困难学生可向户籍所在县（市、区）的学生资助管理机构申请办理生源地信用助学贷款。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入学时，家庭经济特别困难的新生如暂时筹集不齐学费和住宿费，可在报到期间，通过学校开设的</w:t>
      </w:r>
      <w:r>
        <w:rPr>
          <w:rFonts w:ascii="Microsoft YaHei" w:eastAsia="Microsoft YaHei" w:hAnsi="Microsoft YaHei" w:cs="Microsoft YaHei"/>
          <w:color w:val="666666"/>
          <w:sz w:val="21"/>
          <w:szCs w:val="21"/>
        </w:rPr>
        <w:t>“绿色通道”先办理入学手续。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入学后，家庭经济困难学生向学校提出申请，学校学生资助部门根据学生具体情况开展困难认定，采取相应措施给予资助。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英语专业、商务英语专业只招英语考生；其他专业不限制考生应试外语语种</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学校具备英语、日语公共外语教学条件，非英语、日语语种考生慎重报考。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批准的招收男女生比例的要求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经批准的身体及健康状况要求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执行教育部、国家卫生健康委员会、中国残疾人联合会制订并下发的《普通高等学校招生体检工作指导意见》及</w:t>
      </w:r>
      <w:r>
        <w:rPr>
          <w:rFonts w:ascii="Microsoft YaHei" w:eastAsia="Microsoft YaHei" w:hAnsi="Microsoft YaHei" w:cs="Microsoft YaHei"/>
          <w:color w:val="666666"/>
          <w:sz w:val="21"/>
          <w:szCs w:val="21"/>
        </w:rPr>
        <w:t>相关</w:t>
      </w:r>
      <w:r>
        <w:rPr>
          <w:rFonts w:ascii="Microsoft YaHei" w:eastAsia="Microsoft YaHei" w:hAnsi="Microsoft YaHei" w:cs="Microsoft YaHei"/>
          <w:color w:val="666666"/>
          <w:sz w:val="21"/>
          <w:szCs w:val="21"/>
        </w:rPr>
        <w:t>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w:t>
      </w:r>
      <w:r>
        <w:rPr>
          <w:rFonts w:ascii="Microsoft YaHei" w:eastAsia="Microsoft YaHei" w:hAnsi="Microsoft YaHei" w:cs="Microsoft YaHei"/>
          <w:color w:val="666666"/>
          <w:sz w:val="21"/>
          <w:szCs w:val="21"/>
        </w:rPr>
        <w:t>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1. </w:t>
      </w:r>
      <w:r>
        <w:rPr>
          <w:rFonts w:ascii="Microsoft YaHei" w:eastAsia="Microsoft YaHei" w:hAnsi="Microsoft YaHei" w:cs="Microsoft YaHei"/>
          <w:color w:val="666666"/>
          <w:sz w:val="21"/>
          <w:szCs w:val="21"/>
        </w:rPr>
        <w:t>严格执行教育部制定的普通高等学校招生录取政策。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2.开设的所有专业均无单科成绩限制。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投档比例，按照顺序志愿投档的批次，学校调阅考生档案的比例控制在120%以内；按照平行志愿投档的批次，学校调阅考生档案的比例控制在105%以内，最终比例视各省生源情况而定。如生源省份投档比例有特殊规定，按生源省份投档比例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4.对享受政策性加分或者降分投档的考生，按所在省（市、自治区）招生考试机构的规定执行，在专业录取时按投档分数进行排序，优先录取实考分数高的考生。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专业录取:对于进档的考生，录取时各专业之间无分数级差要求。会计学、财务管理、金融学、法学专业按照招生计划，以“分数优先，遵循志愿”的原则择优录取，满额为止；其它专业均满足考生第一专业志愿要求。</w:t>
      </w:r>
      <w:r>
        <w:rPr>
          <w:rFonts w:ascii="Microsoft YaHei" w:eastAsia="Microsoft YaHei" w:hAnsi="Microsoft YaHei" w:cs="Microsoft YaHei"/>
          <w:color w:val="666666"/>
          <w:sz w:val="21"/>
          <w:szCs w:val="21"/>
        </w:rPr>
        <w:t>如有特殊要求的省份，按该省录取原则进行专业录取，无专业分数级差要求。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高考改革省份考生的录取政策按照各高考改革省份的要求执行。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艺术类录取原则：报考艺术类专业的考生必须参加所在省艺术类专业统考并取得合格证书，同时文化课成绩达到所在省艺术类本科录取最低控制分数线以上，根据考生所在省确定的录取原则，录取时按综合分从高到低依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吉林</w:t>
      </w:r>
      <w:r>
        <w:rPr>
          <w:rFonts w:ascii="Microsoft YaHei" w:eastAsia="Microsoft YaHei" w:hAnsi="Microsoft YaHei" w:cs="Microsoft YaHei"/>
          <w:color w:val="666666"/>
          <w:sz w:val="21"/>
          <w:szCs w:val="21"/>
        </w:rPr>
        <w:t>省综合分计算方法：综合分</w:t>
      </w:r>
      <w:r>
        <w:rPr>
          <w:rFonts w:ascii="Microsoft YaHei" w:eastAsia="Microsoft YaHei" w:hAnsi="Microsoft YaHei" w:cs="Microsoft YaHei"/>
          <w:color w:val="666666"/>
          <w:sz w:val="21"/>
          <w:szCs w:val="21"/>
        </w:rPr>
        <w:t>=文化课成绩（含照顾分）×60%+专业课成绩</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考生等效分数相同时，普通类考生按单科顺序及分数从高到低排序。文史类以语文、外语、数学为顺序，科目成绩高者优先录取；理工类以数学、外语、语文为顺序，科目成绩高者优先录取。艺术类考生先比较专业课成绩；若专业课成绩相同，则比较文化课成绩；若文化课成绩相同，则按文化课单科顺序及分数从高到低排序，科目顺序为语文、外语、数学，科目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w:t>
      </w:r>
      <w:r>
        <w:rPr>
          <w:rFonts w:ascii="Microsoft YaHei" w:eastAsia="Microsoft YaHei" w:hAnsi="Microsoft YaHei" w:cs="Microsoft YaHei"/>
          <w:color w:val="666666"/>
          <w:sz w:val="21"/>
          <w:szCs w:val="21"/>
        </w:rPr>
        <w:t>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t>
      </w:r>
      <w:r>
        <w:rPr>
          <w:rFonts w:ascii="Microsoft YaHei" w:eastAsia="Microsoft YaHei" w:hAnsi="Microsoft YaHei" w:cs="Microsoft YaHei"/>
          <w:color w:val="666666"/>
          <w:sz w:val="21"/>
          <w:szCs w:val="21"/>
        </w:rPr>
        <w:t>http://www.ccutchi.edu.cn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通讯地址：吉林省长春</w:t>
      </w:r>
      <w:r>
        <w:rPr>
          <w:rFonts w:ascii="Microsoft YaHei" w:eastAsia="Microsoft YaHei" w:hAnsi="Microsoft YaHei" w:cs="Microsoft YaHei"/>
          <w:color w:val="666666"/>
          <w:sz w:val="21"/>
          <w:szCs w:val="21"/>
        </w:rPr>
        <w:t>市</w:t>
      </w:r>
      <w:r>
        <w:rPr>
          <w:rFonts w:ascii="Microsoft YaHei" w:eastAsia="Microsoft YaHei" w:hAnsi="Microsoft YaHei" w:cs="Microsoft YaHei"/>
          <w:color w:val="666666"/>
          <w:sz w:val="21"/>
          <w:szCs w:val="21"/>
        </w:rPr>
        <w:t>净月国家高新技术产业开发区福祉大路</w:t>
      </w:r>
      <w:r>
        <w:rPr>
          <w:rFonts w:ascii="Microsoft YaHei" w:eastAsia="Microsoft YaHei" w:hAnsi="Microsoft YaHei" w:cs="Microsoft YaHei"/>
          <w:color w:val="666666"/>
          <w:sz w:val="21"/>
          <w:szCs w:val="21"/>
        </w:rPr>
        <w:t>1016号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w:t>
      </w:r>
      <w:r>
        <w:rPr>
          <w:rFonts w:ascii="Microsoft YaHei" w:eastAsia="Microsoft YaHei" w:hAnsi="Microsoft YaHei" w:cs="Microsoft YaHei"/>
          <w:color w:val="666666"/>
          <w:sz w:val="21"/>
          <w:szCs w:val="21"/>
        </w:rPr>
        <w:t>0431-82684666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w:t>
      </w:r>
      <w:r>
        <w:rPr>
          <w:rFonts w:ascii="Microsoft YaHei" w:eastAsia="Microsoft YaHei" w:hAnsi="Microsoft YaHei" w:cs="Microsoft YaHei"/>
          <w:color w:val="666666"/>
          <w:sz w:val="21"/>
          <w:szCs w:val="21"/>
        </w:rPr>
        <w:t>  本章程未尽事宜，按照国家招生政策执行，此章程由长春工业大学人文信息学院负责解释。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长春金融高等专科学校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长春汽车工业高等专科学校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长春中医药大学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2.html" TargetMode="External" /><Relationship Id="rId11" Type="http://schemas.openxmlformats.org/officeDocument/2006/relationships/hyperlink" Target="http://www.gk114.com/a/gxzs/zszc/jilin/2022/0508/22370.html" TargetMode="External" /><Relationship Id="rId12" Type="http://schemas.openxmlformats.org/officeDocument/2006/relationships/hyperlink" Target="http://www.gk114.com/a/gxzs/zszc/jilin/2022/0508/22367.html" TargetMode="External" /><Relationship Id="rId13" Type="http://schemas.openxmlformats.org/officeDocument/2006/relationships/hyperlink" Target="http://www.gk114.com/a/gxzs/zszc/jilin/2022/0508/22363.html" TargetMode="External" /><Relationship Id="rId14" Type="http://schemas.openxmlformats.org/officeDocument/2006/relationships/hyperlink" Target="http://www.gk114.com/a/gxzs/zszc/jilin/2022/0508/22361.html" TargetMode="External" /><Relationship Id="rId15" Type="http://schemas.openxmlformats.org/officeDocument/2006/relationships/hyperlink" Target="http://www.gk114.com/a/gxzs/zszc/jilin/2022/0508/22354.html" TargetMode="External" /><Relationship Id="rId16" Type="http://schemas.openxmlformats.org/officeDocument/2006/relationships/hyperlink" Target="http://www.gk114.com/a/gxzs/zszc/jilin/2021/0606/19769.html" TargetMode="External" /><Relationship Id="rId17" Type="http://schemas.openxmlformats.org/officeDocument/2006/relationships/hyperlink" Target="http://www.gk114.com/a/gxzs/zszc/jilin/2021/0518/19642.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2/0508/22378.html" TargetMode="External" /><Relationship Id="rId5" Type="http://schemas.openxmlformats.org/officeDocument/2006/relationships/hyperlink" Target="http://www.gk114.com/a/gxzs/zszc/jilin/2022/0508/22380.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7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