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南湖校区地址：长春市朝阳区延安大街</w:t>
      </w:r>
      <w:r>
        <w:rPr>
          <w:rFonts w:ascii="Times New Roman" w:eastAsia="Times New Roman" w:hAnsi="Times New Roman" w:cs="Times New Roman"/>
        </w:rPr>
        <w:t>2055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林园校区地址：长春市高新技术产业开发区修正路</w:t>
      </w:r>
      <w:r>
        <w:rPr>
          <w:rFonts w:ascii="Times New Roman" w:eastAsia="Times New Roman" w:hAnsi="Times New Roman" w:cs="Times New Roman"/>
        </w:rPr>
        <w:t>229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北湖校区地址：长春市高新技术产业开发区北区北远达大街</w:t>
      </w:r>
      <w:r>
        <w:rPr>
          <w:rFonts w:ascii="Times New Roman" w:eastAsia="Times New Roman" w:hAnsi="Times New Roman" w:cs="Times New Roman"/>
        </w:rPr>
        <w:t>3000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学生完成培养方案要求的教学内容，成绩合格，符合毕业条件，本科毕业生由长春工业大学颁发国家规定的本科毕业证书</w:t>
      </w:r>
      <w:r>
        <w:rPr>
          <w:rFonts w:ascii="Times New Roman" w:eastAsia="Times New Roman" w:hAnsi="Times New Roman" w:cs="Times New Roman"/>
        </w:rPr>
        <w:t>;</w:t>
      </w:r>
      <w:r>
        <w:rPr>
          <w:rFonts w:ascii="SimSun" w:eastAsia="SimSun" w:hAnsi="SimSun" w:cs="SimSun"/>
        </w:rPr>
        <w:t>专科毕业生由长春工业大学颁发国家规定的专科毕业证书。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金属材料工程专业学费标准为每生每学年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材料成型及控制工程专业学费标准为每生每学年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化学工程与工艺专业学费标准为每生每学年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高分子材料与工程专业学费标准为每生每学年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材料物理专业学费标准为每生每学年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劳动与社会保障专业学费标准为每生每学年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工业设计专业学费标准为每生每学年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测控技术与仪器专业学费标准为每生每学年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资源循环科学与工程专业学费标准为每生每学年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制药工程专业学费标准为每生每学年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数字媒体技术专业学费标准为每生每学年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材料化学专业学费标准为每生每学年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电气工程及其自动化（中外合作办学）专业学费标准为每生每学年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计算机科学与技术（中外合作办学）专业学费标准为每生每学年</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计算机信息管理专业学费标准为每生每学年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入学前，可在家庭户籍所在地的县级教育部门申请办理生源地信用助学贷款，用于解决学费和住宿费。入学时，家庭经济特别困难的新生如暂时筹集不齐学费和住宿费，可在开学报到的当天，通过学校开设的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国家政策要求，对部分经济特别困难实行学费减免制度。学校还对学生本人或家庭遭遇突患严重疾病、火灾、洪涝等突发变故情况导致家庭经济出现困难的，经学生申请、学校核实确认后，可享受到临时困难补助资助。家庭经济困难学生因家乡遥远，路费不足而在假期无法回家探亲也可以申请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学校还通过校内奖学金、</w:t>
      </w:r>
      <w:r>
        <w:rPr>
          <w:rFonts w:ascii="Times New Roman" w:eastAsia="Times New Roman" w:hAnsi="Times New Roman" w:cs="Times New Roman"/>
        </w:rPr>
        <w:t>“</w:t>
      </w:r>
      <w:r>
        <w:rPr>
          <w:rFonts w:ascii="SimSun" w:eastAsia="SimSun" w:hAnsi="SimSun" w:cs="SimSun"/>
        </w:rPr>
        <w:t>双十佳大学生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工大之星</w:t>
      </w:r>
      <w:r>
        <w:rPr>
          <w:rFonts w:ascii="Times New Roman" w:eastAsia="Times New Roman" w:hAnsi="Times New Roman" w:cs="Times New Roman"/>
        </w:rPr>
        <w:t>”</w:t>
      </w:r>
      <w:r>
        <w:rPr>
          <w:rFonts w:ascii="SimSun" w:eastAsia="SimSun" w:hAnsi="SimSun" w:cs="SimSun"/>
        </w:rPr>
        <w:t>评选、勤工助学、</w:t>
      </w:r>
      <w:r>
        <w:rPr>
          <w:rFonts w:ascii="Times New Roman" w:eastAsia="Times New Roman" w:hAnsi="Times New Roman" w:cs="Times New Roman"/>
        </w:rPr>
        <w:t>“</w:t>
      </w:r>
      <w:r>
        <w:rPr>
          <w:rFonts w:ascii="SimSun" w:eastAsia="SimSun" w:hAnsi="SimSun" w:cs="SimSun"/>
        </w:rPr>
        <w:t>爱心万里行</w:t>
      </w:r>
      <w:r>
        <w:rPr>
          <w:rFonts w:ascii="Times New Roman" w:eastAsia="Times New Roman" w:hAnsi="Times New Roman" w:cs="Times New Roman"/>
        </w:rPr>
        <w:t>”</w:t>
      </w:r>
      <w:r>
        <w:rPr>
          <w:rFonts w:ascii="SimSun" w:eastAsia="SimSun" w:hAnsi="SimSun" w:cs="SimSun"/>
        </w:rPr>
        <w:t>经济困难学生走访等校内资助与长发建设助学金等校外资助相结合，全力保障报考我校学生顺利完成学业，成长成才。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必须提交家庭所在地的乡（镇）或街道民政部门加盖公章予以确认的《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有关高校家庭经济困难学生资助政策具体内容详见《高校学生资助政策简介</w:t>
      </w:r>
      <w:r>
        <w:rPr>
          <w:rFonts w:ascii="Times New Roman" w:eastAsia="Times New Roman" w:hAnsi="Times New Roman" w:cs="Times New Roman"/>
        </w:rPr>
        <w:t>(</w:t>
      </w:r>
      <w:r>
        <w:rPr>
          <w:rFonts w:ascii="SimSun" w:eastAsia="SimSun" w:hAnsi="SimSun" w:cs="SimSun"/>
        </w:rPr>
        <w:t>高等学校学生资助政策简介</w:t>
      </w:r>
      <w:r>
        <w:rPr>
          <w:rFonts w:ascii="Times New Roman" w:eastAsia="Times New Roman" w:hAnsi="Times New Roman" w:cs="Times New Roman"/>
        </w:rPr>
        <w:t>)</w:t>
      </w:r>
      <w:r>
        <w:rPr>
          <w:rFonts w:ascii="SimSun" w:eastAsia="SimSun" w:hAnsi="SimSun" w:cs="SimSun"/>
        </w:rPr>
        <w:t>》，此《简介》每年统一由全国学生资助管理中心印制，随录取通知书邮寄至每名新生手中。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r>
        <w:rPr>
          <w:rFonts w:ascii="SimSun" w:eastAsia="SimSun" w:hAnsi="SimSun" w:cs="SimSun"/>
        </w:rPr>
        <w:t>英语专业只招英语考生；日语专业只招日语、英语考生；俄语专业只招俄语、英语考生；其他专业不限制考生应试外语语种</w:t>
      </w:r>
      <w:r>
        <w:rPr>
          <w:rFonts w:ascii="Times New Roman" w:eastAsia="Times New Roman" w:hAnsi="Times New Roman" w:cs="Times New Roman"/>
        </w:rPr>
        <w:t>,</w:t>
      </w:r>
      <w:r>
        <w:rPr>
          <w:rFonts w:ascii="SimSun" w:eastAsia="SimSun" w:hAnsi="SimSun" w:cs="SimSun"/>
        </w:rPr>
        <w:t>学校具备英语、日语、俄语公共外语教学条件，入学后须选择其中一门进行课程学习。计算机科学与技术专业、信息与计算科学专业、数字媒体技术专业、国际经济与贸易专业、信息管理与信息系统专业、电子商务专业、软件工程专业、机械工程（中外合作办学）专业、电气工程及其自动化（中外合作办学）专业、计算机科学与技术（中外合作办学）专业、工业工程（中外合作办学）专业因教学特点和要求，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r>
        <w:rPr>
          <w:rFonts w:ascii="SimSun" w:eastAsia="SimSun" w:hAnsi="SimSun" w:cs="SimSun"/>
        </w:rPr>
        <w:t>不限制考生应试外语语种，学校公共外语教学为英语，非英语语种考生慎重报考。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学校普通专业录取时最大调档比例控制在所在省份招生计划的</w:t>
      </w:r>
      <w:r>
        <w:rPr>
          <w:rFonts w:ascii="Times New Roman" w:eastAsia="Times New Roman" w:hAnsi="Times New Roman" w:cs="Times New Roman"/>
        </w:rPr>
        <w:t>120%</w:t>
      </w:r>
      <w:r>
        <w:rPr>
          <w:rFonts w:ascii="SimSun" w:eastAsia="SimSun" w:hAnsi="SimSun" w:cs="SimSun"/>
        </w:rPr>
        <w:t>以内（按照顺序志愿投档的批次，学校调阅考生档案的比例控制在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以内，最终比例视各省生源情况而定。如生源省份投档比例有特殊规定则按生源省份要求执行）。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对进档考生的专业安排，实行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即：首先对进档考生按照投档分数从高到低排序，再依次按考生专业志愿顺序逐个检索录取，当第一专业志愿不能录取时，检索其第二专业志愿，以此类推；当所有进档考生均通过检索录取后，所报专业志愿均不能录取时，服从专业调剂的考生，将其调剂到未完成计划的专业，若不服从专业调剂，作退档处理。进档考生投档分数相同时，普通专业考生则按单科顺序及分数从高到低排序，科目成绩高者优先录取。单科顺序：理科为数学、外语、理综合、语文；文科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江苏省考生学业水平测试等级要求：选测物理或历史的考生，另一门选测科目不作要求，由考生自选。水平测试科目等级达到</w:t>
      </w:r>
      <w:r>
        <w:rPr>
          <w:rFonts w:ascii="Times New Roman" w:eastAsia="Times New Roman" w:hAnsi="Times New Roman" w:cs="Times New Roman"/>
        </w:rPr>
        <w:t>“1B5C1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（即一门选测科目等级达到</w:t>
      </w:r>
      <w:r>
        <w:rPr>
          <w:rFonts w:ascii="Times New Roman" w:eastAsia="Times New Roman" w:hAnsi="Times New Roman" w:cs="Times New Roman"/>
        </w:rPr>
        <w:t>B</w:t>
      </w:r>
      <w:r>
        <w:rPr>
          <w:rFonts w:ascii="SimSun" w:eastAsia="SimSun" w:hAnsi="SimSun" w:cs="SimSun"/>
        </w:rPr>
        <w:t>级及以上等级，另一门选测科目等级达到</w:t>
      </w:r>
      <w:r>
        <w:rPr>
          <w:rFonts w:ascii="Times New Roman" w:eastAsia="Times New Roman" w:hAnsi="Times New Roman" w:cs="Times New Roman"/>
        </w:rPr>
        <w:t>C</w:t>
      </w:r>
      <w:r>
        <w:rPr>
          <w:rFonts w:ascii="SimSun" w:eastAsia="SimSun" w:hAnsi="SimSun" w:cs="SimSun"/>
        </w:rPr>
        <w:t>级及以上等级，</w:t>
      </w:r>
      <w:r>
        <w:rPr>
          <w:rFonts w:ascii="Times New Roman" w:eastAsia="Times New Roman" w:hAnsi="Times New Roman" w:cs="Times New Roman"/>
        </w:rPr>
        <w:t>4</w:t>
      </w:r>
      <w:r>
        <w:rPr>
          <w:rFonts w:ascii="SimSun" w:eastAsia="SimSun" w:hAnsi="SimSun" w:cs="SimSun"/>
        </w:rPr>
        <w:t>门必测科目等级达到</w:t>
      </w:r>
      <w:r>
        <w:rPr>
          <w:rFonts w:ascii="Times New Roman" w:eastAsia="Times New Roman" w:hAnsi="Times New Roman" w:cs="Times New Roman"/>
        </w:rPr>
        <w:t>C</w:t>
      </w:r>
      <w:r>
        <w:rPr>
          <w:rFonts w:ascii="SimSun" w:eastAsia="SimSun" w:hAnsi="SimSun" w:cs="SimSun"/>
        </w:rPr>
        <w:t>级及以上等级，信息技术等级必须合格），综合素质评价合格。艺术类专业必测科目等级为</w:t>
      </w:r>
      <w:r>
        <w:rPr>
          <w:rFonts w:ascii="Times New Roman" w:eastAsia="Times New Roman" w:hAnsi="Times New Roman" w:cs="Times New Roman"/>
        </w:rPr>
        <w:t>D</w:t>
      </w:r>
      <w:r>
        <w:rPr>
          <w:rFonts w:ascii="SimSun" w:eastAsia="SimSun" w:hAnsi="SimSun" w:cs="SimSun"/>
        </w:rPr>
        <w:t>级不超过三门。考生进档后，按投档成绩从高分到低分排名，按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的原则安排专业，择优录取。同分情况下，按两门选测科目等级择优录取。优先录取的等级顺序为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 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C→BB→BC</w:t>
      </w:r>
      <w:r>
        <w:rPr>
          <w:rFonts w:ascii="SimSun" w:eastAsia="SimSun" w:hAnsi="SimSun" w:cs="SimSun"/>
        </w:rPr>
        <w:t>。等级相同时，按语文、数学、附加分之和从高到低进行排序；如仍相同，文科考生再依次按语文（不含附加分）、数学、外语分数，理科考生再依次按数学（不含附加分）、语文、外语分数进行排序。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我校对上海市、浙江省考生的选考科目要求均以生源所在地考试院备案及公布为准。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艺术类专业考生须校考合格（我校不组织校考的省份须省统考合格），文化课考试成绩达到考生所在省艺术类专业省控分数线，按综合分从高到低择优录取。综合分相同时，按单科顺序及分数从高到低排序，科目成绩高者优先录取。单科顺序：外语、专业课总分、语文、文理综合、数学。综合分计算方法如下：美术类专业：综合分</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）。广播电视编导专业：综合分</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×100%)+ (</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对考生加分或减分照顾、降分投档及其他特殊情况的处理，按考生所在省（市、自治区）招生考试机构的有关规定执行。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http://www.ccut.edu.cn </w:t>
      </w:r>
    </w:p>
    <w:p>
      <w:pPr>
        <w:rPr>
          <w:rFonts w:ascii="Times New Roman" w:eastAsia="Times New Roman" w:hAnsi="Times New Roman" w:cs="Times New Roman"/>
        </w:rPr>
      </w:pPr>
      <w:r>
        <w:rPr>
          <w:rFonts w:ascii="SimSun" w:eastAsia="SimSun" w:hAnsi="SimSun" w:cs="SimSun"/>
        </w:rPr>
        <w:t>通讯地址：长春市延安大街</w:t>
      </w:r>
      <w:r>
        <w:rPr>
          <w:rFonts w:ascii="Times New Roman" w:eastAsia="Times New Roman" w:hAnsi="Times New Roman" w:cs="Times New Roman"/>
        </w:rPr>
        <w:t>2055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 xml:space="preserve">85914753 </w:t>
      </w:r>
    </w:p>
    <w:p>
      <w:pPr>
        <w:rPr>
          <w:rFonts w:ascii="Times New Roman" w:eastAsia="Times New Roman" w:hAnsi="Times New Roman" w:cs="Times New Roman"/>
        </w:rPr>
      </w:pPr>
      <w:r>
        <w:rPr>
          <w:rFonts w:ascii="SimSun" w:eastAsia="SimSun" w:hAnsi="SimSun" w:cs="SimSun"/>
        </w:rPr>
        <w:t>联系部门：招生办公室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本章程由长春工业大学负责解释。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2.html" TargetMode="External" /><Relationship Id="rId5" Type="http://schemas.openxmlformats.org/officeDocument/2006/relationships/hyperlink" Target="http://www.gk114.com/a/gxzs/zszc/jilin/2019/0221/650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