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长春工业大学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南湖校区地址：长春市朝阳区延安大街</w:t>
      </w:r>
      <w:r>
        <w:rPr>
          <w:rFonts w:ascii="Times New Roman" w:eastAsia="Times New Roman" w:hAnsi="Times New Roman" w:cs="Times New Roman"/>
        </w:rPr>
        <w:t>2055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林园校区地址：长春市高新技术产业开发区修正路</w:t>
      </w:r>
      <w:r>
        <w:rPr>
          <w:rFonts w:ascii="Times New Roman" w:eastAsia="Times New Roman" w:hAnsi="Times New Roman" w:cs="Times New Roman"/>
        </w:rPr>
        <w:t>229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北湖校区地址：长春市高新技术产业开发区北区北远达大街</w:t>
      </w:r>
      <w:r>
        <w:rPr>
          <w:rFonts w:ascii="Times New Roman" w:eastAsia="Times New Roman" w:hAnsi="Times New Roman" w:cs="Times New Roman"/>
        </w:rPr>
        <w:t>3000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与辽源职业技术学院联合培养的学生办学地点：吉林省辽源市光明街</w:t>
      </w:r>
      <w:r>
        <w:rPr>
          <w:rFonts w:ascii="Times New Roman" w:eastAsia="Times New Roman" w:hAnsi="Times New Roman" w:cs="Times New Roman"/>
        </w:rPr>
        <w:t>777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学生完成培养方案要求的教学内容，成绩合格，符合毕业条件，本科毕业生由长春工业大学颁发国家规定的本科毕业证书</w:t>
      </w:r>
      <w:r>
        <w:rPr>
          <w:rFonts w:ascii="Times New Roman" w:eastAsia="Times New Roman" w:hAnsi="Times New Roman" w:cs="Times New Roman"/>
        </w:rPr>
        <w:t>;</w:t>
      </w:r>
      <w:r>
        <w:rPr>
          <w:rFonts w:ascii="SimSun" w:eastAsia="SimSun" w:hAnsi="SimSun" w:cs="SimSun"/>
        </w:rPr>
        <w:t>专科毕业生由长春工业大学颁发国家规定的专科毕业证书。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机械电子工程专业学费标准为每生每学年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金属材料工程专业学费标准为每生每学年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材料成型及控制工程专业学费标准为每生每学年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化学工程与工艺专业学费标准为每生每学年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高分子材料与工程专业学费标准为每生每学年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资源循环科学与工程专业学费标准为每生每学年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食品科学与工程专业学费标准为每生每学年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生物技术专业学费标准为每生每学年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化学专业学费标准为每生每学年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统计学专业学费标准为每生每学年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社会工作专业学费标准为每生每学年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劳动与社会保障专业学费标准为每生每学年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材料物理专业学费标准为每生每学年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工业设计专业学费标准为每生每学年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测控技术与仪器专业学费标准为每生每学年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服装设计与工程专业学费标准为每生每学年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车辆工程专业学费标准为每生每学年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材料化学专业学费标准为每生每学年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工业工程专业学费标准为每生每学年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信息管理与信息系统专业学费标准为每生每学年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行政管理专业学费标准为每生每学年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制药工程专业学费标准为每生每学年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自动化专业学费标准为每生每学年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电气工程及其自动化专业学费标准为每生每学年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网络工程专业学费标准为每生每学年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软件工程专业学费标准为每生每学年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信息与计算科学专业学费标准为每生每学年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数字媒体技术专业学费标准为每生每学年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信息安全专业学费标准为每生每学年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数据科学与大数据技术专业学费标准为每生每学年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俄语专业学费标准为每生每学年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服装与服饰设计专业学费标准为每生每学年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数字媒体艺术专业学费标准为每生每学年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广告学专业学费标准为每生每学年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机械类（中外合作办学）（机械工程专业）学费标准为每生每学年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工业工程类（中外合作办学）（工业工程）专业学费标准为每生每学年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电气类（中外合作办学）（电气工程及其自动化）专业学费标准为每生每学年</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计算机类（中外合作办学）（计算机科学与技术）专业学费标准为每生每学年</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计算机信息管理专业学费标准为每生每学年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计算机网络技术专业学费标准为每生每学年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数字媒体应用技术专业学费标准为每生每学年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数控技术专业学费标准为每生每学年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广告设计与制作专业学费标准为每生每学年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我校每年从事业收入中足额提取</w:t>
      </w:r>
      <w:r>
        <w:rPr>
          <w:rFonts w:ascii="Times New Roman" w:eastAsia="Times New Roman" w:hAnsi="Times New Roman" w:cs="Times New Roman"/>
        </w:rPr>
        <w:t>4%</w:t>
      </w:r>
      <w:r>
        <w:rPr>
          <w:rFonts w:ascii="SimSun" w:eastAsia="SimSun" w:hAnsi="SimSun" w:cs="SimSun"/>
        </w:rPr>
        <w:t>的经费用于资助家庭经济困难学生，并按照国家政策要求，对部分经济特别困难实行学费减免制度。学校还对学生本人或家庭遭遇突患严重疾病、火灾、洪涝等突发变故情况导致家庭经济出现困难的，经学生申请、学校核实确认后，可享受到临时困难补助资助。家庭经济困难学生因家乡遥远，路费不足而在假期无法回家探亲的也可以申请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学校还通过校内奖学金、</w:t>
      </w:r>
      <w:r>
        <w:rPr>
          <w:rFonts w:ascii="Times New Roman" w:eastAsia="Times New Roman" w:hAnsi="Times New Roman" w:cs="Times New Roman"/>
        </w:rPr>
        <w:t>“</w:t>
      </w:r>
      <w:r>
        <w:rPr>
          <w:rFonts w:ascii="SimSun" w:eastAsia="SimSun" w:hAnsi="SimSun" w:cs="SimSun"/>
        </w:rPr>
        <w:t>双十佳大学生</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工大之星</w:t>
      </w:r>
      <w:r>
        <w:rPr>
          <w:rFonts w:ascii="Times New Roman" w:eastAsia="Times New Roman" w:hAnsi="Times New Roman" w:cs="Times New Roman"/>
        </w:rPr>
        <w:t>”</w:t>
      </w:r>
      <w:r>
        <w:rPr>
          <w:rFonts w:ascii="SimSun" w:eastAsia="SimSun" w:hAnsi="SimSun" w:cs="SimSun"/>
        </w:rPr>
        <w:t>评选、勤工助学、</w:t>
      </w:r>
      <w:r>
        <w:rPr>
          <w:rFonts w:ascii="Times New Roman" w:eastAsia="Times New Roman" w:hAnsi="Times New Roman" w:cs="Times New Roman"/>
        </w:rPr>
        <w:t>“</w:t>
      </w:r>
      <w:r>
        <w:rPr>
          <w:rFonts w:ascii="SimSun" w:eastAsia="SimSun" w:hAnsi="SimSun" w:cs="SimSun"/>
        </w:rPr>
        <w:t>爱心万里行</w:t>
      </w:r>
      <w:r>
        <w:rPr>
          <w:rFonts w:ascii="Times New Roman" w:eastAsia="Times New Roman" w:hAnsi="Times New Roman" w:cs="Times New Roman"/>
        </w:rPr>
        <w:t>”</w:t>
      </w:r>
      <w:r>
        <w:rPr>
          <w:rFonts w:ascii="SimSun" w:eastAsia="SimSun" w:hAnsi="SimSun" w:cs="SimSun"/>
        </w:rPr>
        <w:t>经济困难学生走访等校内资助与挺进助学金等校外资助相结合，全力保障报考我校学生顺利完成学业，成长成才。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r>
        <w:rPr>
          <w:rFonts w:ascii="SimSun" w:eastAsia="SimSun" w:hAnsi="SimSun" w:cs="SimSun"/>
        </w:rPr>
        <w:t>英语专业只招英语考生；日语专业只招日语、英语考生；俄语专业只招俄语、英语考生；其他专业不限制考生应试外语语种</w:t>
      </w:r>
      <w:r>
        <w:rPr>
          <w:rFonts w:ascii="Times New Roman" w:eastAsia="Times New Roman" w:hAnsi="Times New Roman" w:cs="Times New Roman"/>
        </w:rPr>
        <w:t>,</w:t>
      </w:r>
      <w:r>
        <w:rPr>
          <w:rFonts w:ascii="SimSun" w:eastAsia="SimSun" w:hAnsi="SimSun" w:cs="SimSun"/>
        </w:rPr>
        <w:t>学校具备英语、日语、俄语公共外语教学条件，入学后须选择其中一门进行课程学习。计算机科学与技术专业、信息与计算科学专业、数字媒体技术专业、国际经济与贸易专业、信息管理与信息系统专业、电子商务专业、软件工程专业、机械工程（中外合作办学）专业、电气工程及其自动化（中外合作办学）专业、计算机科学与技术（中外合作办学）专业、工业工程（中外合作办学）专业因教学特点和要求，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r>
        <w:rPr>
          <w:rFonts w:ascii="SimSun" w:eastAsia="SimSun" w:hAnsi="SimSun" w:cs="SimSun"/>
        </w:rPr>
        <w:t>不限制考生应试外语语种，学校公共外语教学为英语，非英语语种考生慎重报考。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我校无男女比例限制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执行教育部、卫生部、中国残疾人联合会制订并下发的《普通高等学校招生体检工作指导意见》及补充规定。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学校普通专业录取时最大调档比例控制在所在省份招生计划的</w:t>
      </w:r>
      <w:r>
        <w:rPr>
          <w:rFonts w:ascii="Times New Roman" w:eastAsia="Times New Roman" w:hAnsi="Times New Roman" w:cs="Times New Roman"/>
        </w:rPr>
        <w:t>120%</w:t>
      </w:r>
      <w:r>
        <w:rPr>
          <w:rFonts w:ascii="SimSun" w:eastAsia="SimSun" w:hAnsi="SimSun" w:cs="SimSun"/>
        </w:rPr>
        <w:t>以内（按照顺序志愿投档的批次，学校调阅考生档案的比例控制在</w:t>
      </w:r>
      <w:r>
        <w:rPr>
          <w:rFonts w:ascii="Times New Roman" w:eastAsia="Times New Roman" w:hAnsi="Times New Roman" w:cs="Times New Roman"/>
        </w:rPr>
        <w:t>120%</w:t>
      </w:r>
      <w:r>
        <w:rPr>
          <w:rFonts w:ascii="SimSun" w:eastAsia="SimSun" w:hAnsi="SimSun" w:cs="SimSun"/>
        </w:rPr>
        <w:t>以内；按照平行志愿投档的批次，调档比例控制在</w:t>
      </w:r>
      <w:r>
        <w:rPr>
          <w:rFonts w:ascii="Times New Roman" w:eastAsia="Times New Roman" w:hAnsi="Times New Roman" w:cs="Times New Roman"/>
        </w:rPr>
        <w:t>105%</w:t>
      </w:r>
      <w:r>
        <w:rPr>
          <w:rFonts w:ascii="SimSun" w:eastAsia="SimSun" w:hAnsi="SimSun" w:cs="SimSun"/>
        </w:rPr>
        <w:t>以内，最终比例视各省生源情况而定。如生源省份投档比例有特殊规定则按生源省份要求执行）。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对进档考生的专业安排，实行招生计划</w:t>
      </w:r>
      <w:r>
        <w:rPr>
          <w:rFonts w:ascii="Times New Roman" w:eastAsia="Times New Roman" w:hAnsi="Times New Roman" w:cs="Times New Roman"/>
        </w:rPr>
        <w:t>1:1</w:t>
      </w:r>
      <w:r>
        <w:rPr>
          <w:rFonts w:ascii="SimSun" w:eastAsia="SimSun" w:hAnsi="SimSun" w:cs="SimSun"/>
        </w:rPr>
        <w:t>范围内</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即：首先对进档考生按照投档分数从高到低排序，再依次按考生专业志愿顺序逐个检索录取，当第一专业志愿不能录取时，检索其第二专业志愿，以此类推；当所有进档考生均通过检索录取后，所报专业志愿均不能录取时，服从专业调剂的考生，将其调剂到未完成计划的专业，若不服从专业调剂，作退档处理。进档考生投档分数相同时，普通专业考生则按单科顺序及分数从高到低排序，科目成绩高者优先录取。单科顺序：理科为数学、外语、理综合、语文；文科为语文、外语、文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江苏省考生学业水平测试等级要求：选测物理或历史的考生，另一门选测科目不作要求，由考生自选。水平测试科目等级达到</w:t>
      </w:r>
      <w:r>
        <w:rPr>
          <w:rFonts w:ascii="Times New Roman" w:eastAsia="Times New Roman" w:hAnsi="Times New Roman" w:cs="Times New Roman"/>
        </w:rPr>
        <w:t>“1B5C1</w:t>
      </w:r>
      <w:r>
        <w:rPr>
          <w:rFonts w:ascii="SimSun" w:eastAsia="SimSun" w:hAnsi="SimSun" w:cs="SimSun"/>
        </w:rPr>
        <w:t>合格</w:t>
      </w:r>
      <w:r>
        <w:rPr>
          <w:rFonts w:ascii="Times New Roman" w:eastAsia="Times New Roman" w:hAnsi="Times New Roman" w:cs="Times New Roman"/>
        </w:rPr>
        <w:t>”</w:t>
      </w:r>
      <w:r>
        <w:rPr>
          <w:rFonts w:ascii="SimSun" w:eastAsia="SimSun" w:hAnsi="SimSun" w:cs="SimSun"/>
        </w:rPr>
        <w:t>（即一门选测科目等级达到</w:t>
      </w:r>
      <w:r>
        <w:rPr>
          <w:rFonts w:ascii="Times New Roman" w:eastAsia="Times New Roman" w:hAnsi="Times New Roman" w:cs="Times New Roman"/>
        </w:rPr>
        <w:t>B</w:t>
      </w:r>
      <w:r>
        <w:rPr>
          <w:rFonts w:ascii="SimSun" w:eastAsia="SimSun" w:hAnsi="SimSun" w:cs="SimSun"/>
        </w:rPr>
        <w:t>级及以上等级，另一门选测科目等级达到</w:t>
      </w:r>
      <w:r>
        <w:rPr>
          <w:rFonts w:ascii="Times New Roman" w:eastAsia="Times New Roman" w:hAnsi="Times New Roman" w:cs="Times New Roman"/>
        </w:rPr>
        <w:t>C</w:t>
      </w:r>
      <w:r>
        <w:rPr>
          <w:rFonts w:ascii="SimSun" w:eastAsia="SimSun" w:hAnsi="SimSun" w:cs="SimSun"/>
        </w:rPr>
        <w:t>级及以上等级，</w:t>
      </w:r>
      <w:r>
        <w:rPr>
          <w:rFonts w:ascii="Times New Roman" w:eastAsia="Times New Roman" w:hAnsi="Times New Roman" w:cs="Times New Roman"/>
        </w:rPr>
        <w:t>4</w:t>
      </w:r>
      <w:r>
        <w:rPr>
          <w:rFonts w:ascii="SimSun" w:eastAsia="SimSun" w:hAnsi="SimSun" w:cs="SimSun"/>
        </w:rPr>
        <w:t>门必测科目等级达到</w:t>
      </w:r>
      <w:r>
        <w:rPr>
          <w:rFonts w:ascii="Times New Roman" w:eastAsia="Times New Roman" w:hAnsi="Times New Roman" w:cs="Times New Roman"/>
        </w:rPr>
        <w:t>C</w:t>
      </w:r>
      <w:r>
        <w:rPr>
          <w:rFonts w:ascii="SimSun" w:eastAsia="SimSun" w:hAnsi="SimSun" w:cs="SimSun"/>
        </w:rPr>
        <w:t>级及以上等级，信息技术等级必须合格），综合素质评价合格。艺术类专业必测科目等级为</w:t>
      </w:r>
      <w:r>
        <w:rPr>
          <w:rFonts w:ascii="Times New Roman" w:eastAsia="Times New Roman" w:hAnsi="Times New Roman" w:cs="Times New Roman"/>
        </w:rPr>
        <w:t>D</w:t>
      </w:r>
      <w:r>
        <w:rPr>
          <w:rFonts w:ascii="SimSun" w:eastAsia="SimSun" w:hAnsi="SimSun" w:cs="SimSun"/>
        </w:rPr>
        <w:t>级不超过三门。考生进档后，按投档成绩从高分到低分排名，按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的原则安排专业，择优录取。同分情况下，按两门选测科目等级择优录取。优先录取的等级顺序为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→AA→A</w:t>
      </w:r>
      <w:r>
        <w:rPr>
          <w:rFonts w:ascii="SimSun" w:eastAsia="SimSun" w:hAnsi="SimSun" w:cs="SimSun"/>
        </w:rPr>
        <w:t>＋</w:t>
      </w:r>
      <w:r>
        <w:rPr>
          <w:rFonts w:ascii="Times New Roman" w:eastAsia="Times New Roman" w:hAnsi="Times New Roman" w:cs="Times New Roman"/>
        </w:rPr>
        <w:t>B→AB</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C→AB→B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→AC→ 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C→BB→BC</w:t>
      </w:r>
      <w:r>
        <w:rPr>
          <w:rFonts w:ascii="SimSun" w:eastAsia="SimSun" w:hAnsi="SimSun" w:cs="SimSun"/>
        </w:rPr>
        <w:t>。等级相同时，按语文、数学、附加分之和从高到低进行排序；如仍相同，文科考生再依次按语文（不含附加分）、数学、外语分数，理科考生再依次按数学（不含附加分）、语文、外语分数进行排序。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我校对上海市、浙江省考生的选考科目要求均以生源所在地考试院备案及公布为准。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艺术类专业考生须校考合格（我校不组织校考的省份须省统考合格），文化课考试成绩达到考生所在省艺术类专业省控分数线，按综合分从高到低择优录取。综合分相同时，按单科顺序及分数从高到低排序，科目成绩高者优先录取。单科顺序：外语、专业课总分、语文、文理综合、数学。综合分计算方法如下：美术类专业：综合分</w:t>
      </w:r>
      <w:r>
        <w:rPr>
          <w:rFonts w:ascii="Times New Roman" w:eastAsia="Times New Roman" w:hAnsi="Times New Roman" w:cs="Times New Roman"/>
        </w:rPr>
        <w:t>=</w:t>
      </w:r>
      <w:r>
        <w:rPr>
          <w:rFonts w:ascii="SimSun" w:eastAsia="SimSun" w:hAnsi="SimSun" w:cs="SimSun"/>
        </w:rPr>
        <w:t>（文化课成绩总分</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（专业课成绩总分</w:t>
      </w:r>
      <w:r>
        <w:rPr>
          <w:rFonts w:ascii="Times New Roman" w:eastAsia="Times New Roman" w:hAnsi="Times New Roman" w:cs="Times New Roman"/>
        </w:rPr>
        <w:t>×100%</w:t>
      </w:r>
      <w:r>
        <w:rPr>
          <w:rFonts w:ascii="SimSun" w:eastAsia="SimSun" w:hAnsi="SimSun" w:cs="SimSun"/>
        </w:rPr>
        <w:t>）。广播电视编导专业：综合分</w:t>
      </w:r>
      <w:r>
        <w:rPr>
          <w:rFonts w:ascii="Times New Roman" w:eastAsia="Times New Roman" w:hAnsi="Times New Roman" w:cs="Times New Roman"/>
        </w:rPr>
        <w:t>=(</w:t>
      </w:r>
      <w:r>
        <w:rPr>
          <w:rFonts w:ascii="SimSun" w:eastAsia="SimSun" w:hAnsi="SimSun" w:cs="SimSun"/>
        </w:rPr>
        <w:t>文化课成绩总分</w:t>
      </w:r>
      <w:r>
        <w:rPr>
          <w:rFonts w:ascii="Times New Roman" w:eastAsia="Times New Roman" w:hAnsi="Times New Roman" w:cs="Times New Roman"/>
        </w:rPr>
        <w:t>×100%)+ (</w:t>
      </w:r>
      <w:r>
        <w:rPr>
          <w:rFonts w:ascii="SimSun" w:eastAsia="SimSun" w:hAnsi="SimSun" w:cs="SimSun"/>
        </w:rPr>
        <w:t>专业课成绩总分</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对考生加分或减分照顾、降分投档及其他特殊情况的处理，按考生所在省（市、自治区）招生考试机构的有关规定执行。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录取时，往届生与应届生一视同仁。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http://www.ccut.edu.cn </w:t>
      </w:r>
    </w:p>
    <w:p>
      <w:pPr>
        <w:rPr>
          <w:rFonts w:ascii="Times New Roman" w:eastAsia="Times New Roman" w:hAnsi="Times New Roman" w:cs="Times New Roman"/>
        </w:rPr>
      </w:pPr>
      <w:r>
        <w:rPr>
          <w:rFonts w:ascii="SimSun" w:eastAsia="SimSun" w:hAnsi="SimSun" w:cs="SimSun"/>
        </w:rPr>
        <w:t>通讯地址：长春市延安大街</w:t>
      </w:r>
      <w:r>
        <w:rPr>
          <w:rFonts w:ascii="Times New Roman" w:eastAsia="Times New Roman" w:hAnsi="Times New Roman" w:cs="Times New Roman"/>
        </w:rPr>
        <w:t>2055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w:t>
      </w:r>
      <w:r>
        <w:rPr>
          <w:rFonts w:ascii="SimSun" w:eastAsia="SimSun" w:hAnsi="SimSun" w:cs="SimSun"/>
        </w:rPr>
        <w:t>－</w:t>
      </w:r>
      <w:r>
        <w:rPr>
          <w:rFonts w:ascii="Times New Roman" w:eastAsia="Times New Roman" w:hAnsi="Times New Roman" w:cs="Times New Roman"/>
        </w:rPr>
        <w:t xml:space="preserve">85914753 </w:t>
      </w:r>
    </w:p>
    <w:p>
      <w:pPr>
        <w:rPr>
          <w:rFonts w:ascii="Times New Roman" w:eastAsia="Times New Roman" w:hAnsi="Times New Roman" w:cs="Times New Roman"/>
        </w:rPr>
      </w:pPr>
      <w:r>
        <w:rPr>
          <w:rFonts w:ascii="SimSun" w:eastAsia="SimSun" w:hAnsi="SimSun" w:cs="SimSun"/>
        </w:rPr>
        <w:t>联系部门：招生办公室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此章程由长春工业大学负责解释，本章程无特别要求及未尽事宜，按照国家招生政策执行。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吉林化工学院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沈阳工业大学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沈阳工业大学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大连工业大学艺术与信息工程学院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328/19222.html" TargetMode="External" /><Relationship Id="rId11" Type="http://schemas.openxmlformats.org/officeDocument/2006/relationships/hyperlink" Target="http://www.gk114.com/a/gxzs/zszc/liaoning/2021/0328/19211.html" TargetMode="External" /><Relationship Id="rId12" Type="http://schemas.openxmlformats.org/officeDocument/2006/relationships/hyperlink" Target="http://www.gk114.com/a/gxzs/zszc/liaoning/2021/0328/19187.html" TargetMode="External" /><Relationship Id="rId13" Type="http://schemas.openxmlformats.org/officeDocument/2006/relationships/hyperlink" Target="http://www.gk114.com/a/gxzs/zszc/liaoning/2019/0625/10229.html" TargetMode="External" /><Relationship Id="rId14" Type="http://schemas.openxmlformats.org/officeDocument/2006/relationships/hyperlink" Target="http://www.gk114.com/a/gxzs/zszc/liaoning/2019/0625/10228.html" TargetMode="External" /><Relationship Id="rId15" Type="http://schemas.openxmlformats.org/officeDocument/2006/relationships/hyperlink" Target="http://www.gk114.com/a/gxzs/zszc/liaoning/2019/0625/10227.html" TargetMode="External" /><Relationship Id="rId16" Type="http://schemas.openxmlformats.org/officeDocument/2006/relationships/hyperlink" Target="http://www.gk114.com/a/gxzs/zszc/liaoning/2019/0625/10226.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199.html" TargetMode="External" /><Relationship Id="rId5" Type="http://schemas.openxmlformats.org/officeDocument/2006/relationships/hyperlink" Target="http://www.gk114.com/a/gxzs/zszc/liaoning/2019/0625/10201.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1/0510/19579.html" TargetMode="External" /><Relationship Id="rId8" Type="http://schemas.openxmlformats.org/officeDocument/2006/relationships/hyperlink" Target="http://www.gk114.com/a/gxzs/zszc/liaoning/2021/0510/19574.html" TargetMode="External" /><Relationship Id="rId9" Type="http://schemas.openxmlformats.org/officeDocument/2006/relationships/hyperlink" Target="http://www.gk114.com/a/gxzs/zszc/liaoning/2021/0328/192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