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长春建筑学院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rPr>
        <w:t>第一章　总则</w:t>
      </w:r>
    </w:p>
    <w:p>
      <w:pPr>
        <w:pBdr>
          <w:top w:val="none" w:sz="0" w:space="0" w:color="auto"/>
          <w:left w:val="none" w:sz="0" w:space="0" w:color="auto"/>
          <w:bottom w:val="none" w:sz="0" w:space="0" w:color="auto"/>
          <w:right w:val="none" w:sz="0" w:space="0" w:color="auto"/>
        </w:pBdr>
        <w:spacing w:before="0" w:after="0" w:line="405" w:lineRule="atLeast"/>
        <w:ind w:left="0" w:right="0" w:firstLine="495"/>
        <w:rPr>
          <w:rFonts w:ascii="Microsoft YaHei" w:eastAsia="Microsoft YaHei" w:hAnsi="Microsoft YaHei" w:cs="Microsoft YaHei"/>
          <w:color w:val="666666"/>
          <w:sz w:val="21"/>
          <w:szCs w:val="21"/>
        </w:rPr>
      </w:pPr>
      <w:r>
        <w:rPr>
          <w:rFonts w:ascii="SimHei" w:eastAsia="SimHei" w:hAnsi="SimHei" w:cs="SimHei"/>
          <w:b/>
          <w:bCs/>
          <w:color w:val="666666"/>
        </w:rPr>
        <w:t>第一条</w:t>
      </w:r>
      <w:r>
        <w:rPr>
          <w:rFonts w:ascii="SimSun" w:eastAsia="SimSun" w:hAnsi="SimSun" w:cs="SimSun"/>
          <w:color w:val="666666"/>
        </w:rPr>
        <w:t>　为规范学校今年招生工作，依据《中华人民共和国教育法》、《中华人民共和国高等教育法》等法律法规以及教育部有关规定，特制定本章程。</w:t>
      </w:r>
      <w:r>
        <w:rPr>
          <w:rFonts w:ascii="SimSun" w:eastAsia="SimSun" w:hAnsi="SimSun" w:cs="SimSun"/>
          <w:color w:val="666666"/>
        </w:rPr>
        <w:br/>
      </w:r>
      <w:r>
        <w:rPr>
          <w:rFonts w:ascii="SimSun" w:eastAsia="SimSun" w:hAnsi="SimSun" w:cs="SimSun"/>
          <w:color w:val="666666"/>
        </w:rPr>
        <w:t>　　</w:t>
      </w:r>
      <w:r>
        <w:rPr>
          <w:rFonts w:ascii="SimHei" w:eastAsia="SimHei" w:hAnsi="SimHei" w:cs="SimHei"/>
          <w:b/>
          <w:bCs/>
          <w:color w:val="666666"/>
        </w:rPr>
        <w:t>第二条</w:t>
      </w:r>
      <w:r>
        <w:rPr>
          <w:rFonts w:ascii="SimSun" w:eastAsia="SimSun" w:hAnsi="SimSun" w:cs="SimSun"/>
          <w:color w:val="666666"/>
        </w:rPr>
        <w:t>　本章程适用于学校今年普通高等教育的本科层次招生工作。</w:t>
      </w:r>
      <w:r>
        <w:rPr>
          <w:rFonts w:ascii="SimSun" w:eastAsia="SimSun" w:hAnsi="SimSun" w:cs="SimSun"/>
          <w:color w:val="666666"/>
        </w:rPr>
        <w:br/>
      </w:r>
      <w:r>
        <w:rPr>
          <w:rFonts w:ascii="SimSun" w:eastAsia="SimSun" w:hAnsi="SimSun" w:cs="SimSun"/>
          <w:color w:val="666666"/>
        </w:rPr>
        <w:t>　　</w:t>
      </w:r>
      <w:r>
        <w:rPr>
          <w:rFonts w:ascii="SimHei" w:eastAsia="SimHei" w:hAnsi="SimHei" w:cs="SimHei"/>
          <w:b/>
          <w:bCs/>
          <w:color w:val="666666"/>
        </w:rPr>
        <w:t>第三条</w:t>
      </w:r>
      <w:r>
        <w:rPr>
          <w:rFonts w:ascii="SimSun" w:eastAsia="SimSun" w:hAnsi="SimSun" w:cs="SimSun"/>
          <w:color w:val="666666"/>
        </w:rPr>
        <w:t>　学校全称：长春建筑学院</w:t>
      </w:r>
      <w:r>
        <w:rPr>
          <w:rFonts w:ascii="SimSun" w:eastAsia="SimSun" w:hAnsi="SimSun" w:cs="SimSun"/>
          <w:color w:val="666666"/>
        </w:rPr>
        <w:br/>
      </w:r>
      <w:r>
        <w:rPr>
          <w:rFonts w:ascii="SimSun" w:eastAsia="SimSun" w:hAnsi="SimSun" w:cs="SimSun"/>
          <w:color w:val="666666"/>
        </w:rPr>
        <w:t>　　　　　　层次：本科</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办学类型：民办高等学校</w:t>
      </w:r>
      <w:r>
        <w:rPr>
          <w:rFonts w:ascii="SimSun" w:eastAsia="SimSun" w:hAnsi="SimSun" w:cs="SimSun"/>
          <w:color w:val="666666"/>
        </w:rPr>
        <w:br/>
      </w:r>
      <w:r>
        <w:rPr>
          <w:rFonts w:ascii="SimSun" w:eastAsia="SimSun" w:hAnsi="SimSun" w:cs="SimSun"/>
          <w:color w:val="666666"/>
        </w:rPr>
        <w:t>　　</w:t>
      </w:r>
      <w:r>
        <w:rPr>
          <w:rFonts w:ascii="SimHei" w:eastAsia="SimHei" w:hAnsi="SimHei" w:cs="SimHei"/>
          <w:b/>
          <w:bCs/>
          <w:color w:val="666666"/>
        </w:rPr>
        <w:t>第四条</w:t>
      </w:r>
      <w:r>
        <w:rPr>
          <w:rFonts w:ascii="SimSun" w:eastAsia="SimSun" w:hAnsi="SimSun" w:cs="SimSun"/>
          <w:color w:val="666666"/>
        </w:rPr>
        <w:t>　校址</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主校区地址：吉林省长春市双阳区奢岭高校园区。</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高新校区地址：吉林省长春市高新技术产业开发区火炬路1519号。</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rPr>
        <w:t>第二章　收费标准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  </w:t>
      </w:r>
      <w:r>
        <w:rPr>
          <w:rFonts w:ascii="SimHei" w:eastAsia="SimHei" w:hAnsi="SimHei" w:cs="SimHei"/>
          <w:b/>
          <w:bCs/>
          <w:color w:val="666666"/>
        </w:rPr>
        <w:t>第五条</w:t>
      </w:r>
      <w:r>
        <w:rPr>
          <w:rFonts w:ascii="Calibri" w:eastAsia="Calibri" w:hAnsi="Calibri" w:cs="Calibri"/>
          <w:b/>
          <w:bCs/>
          <w:color w:val="666666"/>
        </w:rPr>
        <w:t>  </w:t>
      </w:r>
      <w:r>
        <w:rPr>
          <w:rFonts w:ascii="SimHei" w:eastAsia="SimHei" w:hAnsi="SimHei" w:cs="SimHei"/>
          <w:b/>
          <w:bCs/>
          <w:color w:val="666666"/>
        </w:rPr>
        <w:t>学费收取标准</w:t>
      </w:r>
      <w:r>
        <w:rPr>
          <w:rFonts w:ascii="SimHei" w:eastAsia="SimHei" w:hAnsi="SimHei" w:cs="SimHei"/>
          <w:b/>
          <w:bCs/>
          <w:color w:val="666666"/>
        </w:rPr>
        <w:br/>
      </w:r>
      <w:r>
        <w:rPr>
          <w:rFonts w:ascii="Microsoft YaHei" w:eastAsia="Microsoft YaHei" w:hAnsi="Microsoft YaHei" w:cs="Microsoft YaHei"/>
          <w:color w:val="666666"/>
          <w:sz w:val="21"/>
          <w:szCs w:val="21"/>
        </w:rPr>
        <w:t> </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284"/>
        <w:gridCol w:w="5992"/>
        <w:gridCol w:w="4930"/>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270"/>
        </w:trPr>
        <w:tc>
          <w:tcPr>
            <w:tcW w:w="17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专业代码</w:t>
            </w:r>
          </w:p>
        </w:tc>
        <w:tc>
          <w:tcPr>
            <w:tcW w:w="34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专业</w:t>
            </w:r>
          </w:p>
        </w:tc>
        <w:tc>
          <w:tcPr>
            <w:tcW w:w="27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收费标准</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082901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安全工程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090502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园林</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081201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测绘工程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082502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环境工程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081802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交通工程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120204</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财务管理</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120201K</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工商管理</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120103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工程管理</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120105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工程造价</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120104</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房地产开发与管理</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120801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电子商务</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120210</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文化产业管理</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120410</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健康服务与管理</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081001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土木工程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081002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建筑环境与能源应用工程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081003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给排水科学与工程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081004</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建筑电气与智能化</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081005T</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城市地下空间工程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082801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建筑学</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082802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城乡规划</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082803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风景园林</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081006T</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道路桥梁与渡河工程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14400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080601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电气工程及其自动化</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080701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电子信息工程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080703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通信工程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080901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计算机科学与技术</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080801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自动化</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080904K</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信息安全</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080906</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数字媒体技术</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080905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物联网工程</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30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080910T</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数据科学与大数据技术</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101005</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康复治疗学</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101101</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护理学</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16800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130502</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视觉传达设计</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19200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环境设计</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19200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130504</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产品设计</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19200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130506</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公共艺术</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19200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130509T</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艺术与科技</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19200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050303</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广告学</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16000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130507</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工艺美术</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19200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130310</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动画</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21600</w:t>
            </w:r>
            <w:r>
              <w:rPr>
                <w:rFonts w:ascii="SimSun" w:eastAsia="SimSun" w:hAnsi="SimSun" w:cs="SimSun"/>
                <w:b w:val="0"/>
                <w:bCs w:val="0"/>
                <w:i w:val="0"/>
                <w:iCs w:val="0"/>
                <w:smallCaps w:val="0"/>
                <w:color w:val="666666"/>
                <w:sz w:val="23"/>
                <w:szCs w:val="23"/>
              </w:rPr>
              <w:t>元/生·年</w:t>
            </w:r>
          </w:p>
        </w:tc>
      </w:tr>
      <w:tr>
        <w:tblPrEx>
          <w:tblW w:w="14326" w:type="dxa"/>
          <w:tblInd w:w="165" w:type="dxa"/>
          <w:tblCellMar>
            <w:top w:w="0" w:type="dxa"/>
            <w:left w:w="0" w:type="dxa"/>
            <w:bottom w:w="0" w:type="dxa"/>
            <w:right w:w="0" w:type="dxa"/>
          </w:tblCellMar>
        </w:tblPrEx>
        <w:trPr>
          <w:trHeight w:val="270"/>
        </w:trPr>
        <w:tc>
          <w:tcPr>
            <w:tcW w:w="17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130508</w:t>
            </w:r>
          </w:p>
        </w:tc>
        <w:tc>
          <w:tcPr>
            <w:tcW w:w="3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数字媒体艺术</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21600</w:t>
            </w:r>
            <w:r>
              <w:rPr>
                <w:rFonts w:ascii="SimSun" w:eastAsia="SimSun" w:hAnsi="SimSun" w:cs="SimSun"/>
                <w:b w:val="0"/>
                <w:bCs w:val="0"/>
                <w:i w:val="0"/>
                <w:iCs w:val="0"/>
                <w:smallCaps w:val="0"/>
                <w:color w:val="666666"/>
                <w:sz w:val="23"/>
                <w:szCs w:val="23"/>
              </w:rPr>
              <w:t>元/生·年</w:t>
            </w:r>
          </w:p>
        </w:tc>
      </w:tr>
    </w:tbl>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rPr>
        <w:t>第三章　学历证书颁发</w:t>
      </w:r>
    </w:p>
    <w:p>
      <w:pPr>
        <w:pBdr>
          <w:top w:val="none" w:sz="0" w:space="0" w:color="auto"/>
          <w:left w:val="none" w:sz="0" w:space="0" w:color="auto"/>
          <w:bottom w:val="none" w:sz="0" w:space="0" w:color="auto"/>
          <w:right w:val="none" w:sz="0" w:space="0" w:color="auto"/>
        </w:pBdr>
        <w:spacing w:before="0" w:after="0" w:line="405" w:lineRule="atLeast"/>
        <w:ind w:left="0" w:right="0" w:firstLine="495"/>
        <w:rPr>
          <w:rFonts w:ascii="Microsoft YaHei" w:eastAsia="Microsoft YaHei" w:hAnsi="Microsoft YaHei" w:cs="Microsoft YaHei"/>
          <w:color w:val="666666"/>
          <w:sz w:val="21"/>
          <w:szCs w:val="21"/>
        </w:rPr>
      </w:pPr>
      <w:r>
        <w:rPr>
          <w:rFonts w:ascii="SimHei" w:eastAsia="SimHei" w:hAnsi="SimHei" w:cs="SimHei"/>
          <w:b/>
          <w:bCs/>
          <w:color w:val="666666"/>
        </w:rPr>
        <w:t>第六条</w:t>
      </w:r>
      <w:r>
        <w:rPr>
          <w:rFonts w:ascii="SimSun" w:eastAsia="SimSun" w:hAnsi="SimSun" w:cs="SimSun"/>
          <w:color w:val="666666"/>
        </w:rPr>
        <w:t>  </w:t>
      </w:r>
      <w:r>
        <w:rPr>
          <w:rFonts w:ascii="SimSun" w:eastAsia="SimSun" w:hAnsi="SimSun" w:cs="SimSun"/>
          <w:color w:val="666666"/>
        </w:rPr>
        <w:t>学生完成培养方案要求的教学内容，成绩合格，符合毕业条件的本科毕业生由长春建筑学院颁发国家规定的本科毕业证书。</w:t>
      </w:r>
    </w:p>
    <w:p>
      <w:pPr>
        <w:pBdr>
          <w:top w:val="none" w:sz="0" w:space="0" w:color="auto"/>
          <w:left w:val="none" w:sz="0" w:space="0" w:color="auto"/>
          <w:bottom w:val="none" w:sz="0" w:space="0" w:color="auto"/>
          <w:right w:val="none" w:sz="0" w:space="0" w:color="auto"/>
        </w:pBdr>
        <w:spacing w:before="0" w:after="0" w:line="405" w:lineRule="atLeast"/>
        <w:ind w:left="0" w:right="0" w:firstLine="495"/>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rPr>
        <w:t>第四章 家庭经济困难学生资助政策</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rPr>
        <w:t>第七条</w:t>
      </w:r>
      <w:r>
        <w:rPr>
          <w:rFonts w:ascii="SimSun" w:eastAsia="SimSun" w:hAnsi="SimSun" w:cs="SimSun"/>
          <w:color w:val="666666"/>
        </w:rPr>
        <w:t>  </w:t>
      </w:r>
      <w:r>
        <w:rPr>
          <w:rFonts w:ascii="SimSun" w:eastAsia="SimSun" w:hAnsi="SimSun" w:cs="SimSun"/>
          <w:color w:val="666666"/>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目前，国家在高等教育本专科阶段建立起国家奖学金、国家励志奖学金、国家助学金、生源地信用助学贷款、基层就业学费补偿、助学贷款代偿、退役士兵教育资助、服义务兵役国家资助、直招士官国家资助、新生入学资助项目、勤工助学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入学前，可在家庭户籍所在地的教育部门申请办理生源地信用助学贷款，用于解决学费和住宿费。入学时，家庭经济特别困难的新生，可通过学校开设的“绿色通道”报到。入校后，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rPr>
        <w:t>第八条</w:t>
      </w:r>
      <w:r>
        <w:rPr>
          <w:rFonts w:ascii="SimSun" w:eastAsia="SimSun" w:hAnsi="SimSun" w:cs="SimSun"/>
          <w:color w:val="666666"/>
        </w:rPr>
        <w:t>  </w:t>
      </w:r>
      <w:r>
        <w:rPr>
          <w:rFonts w:ascii="SimSun" w:eastAsia="SimSun" w:hAnsi="SimSun" w:cs="SimSun"/>
          <w:color w:val="666666"/>
        </w:rPr>
        <w:t>高校家庭经济困难学生校内资助政策主要内容及相关程序</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我校从学费收入中足额提取5%的经费用于资助家庭经济困难学生。设立了校内奖学金。经济困难学生主要通过国家助学贷款的方式来解决学习和生活困难，对于特别困难的学生，学校视情况给予其它方式的资助。主要包括以下几个方面：1.学校奖学金；2.勤工助学；3.临时困难补助。具体工作开展依据《长春建筑学院国家奖助学金管理办法》执行。</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rPr>
        <w:t>第九条</w:t>
      </w:r>
      <w:r>
        <w:rPr>
          <w:rFonts w:ascii="SimSun" w:eastAsia="SimSun" w:hAnsi="SimSun" w:cs="SimSun"/>
          <w:color w:val="666666"/>
        </w:rPr>
        <w:t> 其他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有关高校家庭经济困难学生资助政策具体内容详见《高等学校学生资助政策简介》，此《简介》每年统一由全国学生资助管理中心印制，随录取通知书邮寄至每名新生手中。</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SimHei" w:eastAsia="SimHei" w:hAnsi="SimHei" w:cs="SimHei"/>
          <w:b/>
          <w:bCs/>
          <w:color w:val="666666"/>
        </w:rPr>
        <w:t>第五章　录取说明</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rPr>
        <w:t>第十条</w:t>
      </w:r>
      <w:r>
        <w:rPr>
          <w:rFonts w:ascii="SimSun" w:eastAsia="SimSun" w:hAnsi="SimSun" w:cs="SimSun"/>
          <w:color w:val="666666"/>
        </w:rPr>
        <w:t> </w:t>
      </w:r>
      <w:r>
        <w:rPr>
          <w:rFonts w:ascii="SimSun" w:eastAsia="SimSun" w:hAnsi="SimSun" w:cs="SimSun"/>
          <w:color w:val="666666"/>
        </w:rPr>
        <w:t>专业培养对外语的要求</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各专业统考外语语种不限。</w:t>
      </w:r>
      <w:r>
        <w:rPr>
          <w:rFonts w:ascii="SimSun" w:eastAsia="SimSun" w:hAnsi="SimSun" w:cs="SimSun"/>
          <w:color w:val="666666"/>
        </w:rPr>
        <w:br/>
      </w:r>
      <w:r>
        <w:rPr>
          <w:rFonts w:ascii="SimSun" w:eastAsia="SimSun" w:hAnsi="SimSun" w:cs="SimSun"/>
          <w:color w:val="666666"/>
        </w:rPr>
        <w:t>　　</w:t>
      </w:r>
      <w:r>
        <w:rPr>
          <w:rFonts w:ascii="SimHei" w:eastAsia="SimHei" w:hAnsi="SimHei" w:cs="SimHei"/>
          <w:b/>
          <w:bCs/>
          <w:color w:val="666666"/>
        </w:rPr>
        <w:t>第十一条</w:t>
      </w:r>
      <w:r>
        <w:rPr>
          <w:rFonts w:ascii="SimSun" w:eastAsia="SimSun" w:hAnsi="SimSun" w:cs="SimSun"/>
          <w:color w:val="666666"/>
        </w:rPr>
        <w:t>  </w:t>
      </w:r>
      <w:r>
        <w:rPr>
          <w:rFonts w:ascii="SimSun" w:eastAsia="SimSun" w:hAnsi="SimSun" w:cs="SimSun"/>
          <w:color w:val="666666"/>
        </w:rPr>
        <w:t>批准的招收男女生比例的要求</w:t>
      </w:r>
      <w:r>
        <w:rPr>
          <w:rFonts w:ascii="SimSun" w:eastAsia="SimSun" w:hAnsi="SimSun" w:cs="SimSun"/>
          <w:color w:val="666666"/>
        </w:rPr>
        <w:br/>
      </w:r>
      <w:r>
        <w:rPr>
          <w:rFonts w:ascii="SimSun" w:eastAsia="SimSun" w:hAnsi="SimSun" w:cs="SimSun"/>
          <w:color w:val="666666"/>
        </w:rPr>
        <w:t>　　各专业招生男女比例不限。</w:t>
      </w:r>
      <w:r>
        <w:rPr>
          <w:rFonts w:ascii="SimSun" w:eastAsia="SimSun" w:hAnsi="SimSun" w:cs="SimSun"/>
          <w:color w:val="666666"/>
        </w:rPr>
        <w:br/>
      </w:r>
      <w:r>
        <w:rPr>
          <w:rFonts w:ascii="SimSun" w:eastAsia="SimSun" w:hAnsi="SimSun" w:cs="SimSun"/>
          <w:color w:val="666666"/>
        </w:rPr>
        <w:t>　　</w:t>
      </w:r>
      <w:r>
        <w:rPr>
          <w:rFonts w:ascii="SimHei" w:eastAsia="SimHei" w:hAnsi="SimHei" w:cs="SimHei"/>
          <w:b/>
          <w:bCs/>
          <w:color w:val="666666"/>
        </w:rPr>
        <w:t>第十二条</w:t>
      </w:r>
      <w:r>
        <w:rPr>
          <w:rFonts w:ascii="SimSun" w:eastAsia="SimSun" w:hAnsi="SimSun" w:cs="SimSun"/>
          <w:color w:val="666666"/>
        </w:rPr>
        <w:t>  </w:t>
      </w:r>
      <w:r>
        <w:rPr>
          <w:rFonts w:ascii="SimSun" w:eastAsia="SimSun" w:hAnsi="SimSun" w:cs="SimSun"/>
          <w:color w:val="666666"/>
        </w:rPr>
        <w:t>身体及健康状况的要求</w:t>
      </w:r>
      <w:r>
        <w:rPr>
          <w:rFonts w:ascii="SimSun" w:eastAsia="SimSun" w:hAnsi="SimSun" w:cs="SimSun"/>
          <w:color w:val="666666"/>
        </w:rPr>
        <w:br/>
      </w:r>
      <w:r>
        <w:rPr>
          <w:rFonts w:ascii="SimSun" w:eastAsia="SimSun" w:hAnsi="SimSun" w:cs="SimSun"/>
          <w:color w:val="666666"/>
        </w:rPr>
        <w:t>　　执行教育部、卫生部、中国残疾人联合会制订并下发的《普通高等学校招生体检工作指导意见》及相关补充规定。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Hei" w:eastAsia="SimHei" w:hAnsi="SimHei" w:cs="SimHei"/>
          <w:b/>
          <w:bCs/>
          <w:color w:val="666666"/>
        </w:rPr>
        <w:t>第十三条</w:t>
      </w:r>
      <w:r>
        <w:rPr>
          <w:rFonts w:ascii="Calibri" w:eastAsia="Calibri" w:hAnsi="Calibri" w:cs="Calibri"/>
          <w:b/>
          <w:bCs/>
          <w:color w:val="666666"/>
        </w:rPr>
        <w:t>  </w:t>
      </w:r>
      <w:r>
        <w:rPr>
          <w:rFonts w:ascii="SimSun" w:eastAsia="SimSun" w:hAnsi="SimSun" w:cs="SimSun"/>
          <w:color w:val="666666"/>
        </w:rPr>
        <w:t>录取规则</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投档比例，按照顺序志愿投档的批次，学校调阅考生档案的比例原则上控制在120%以内。按照平行志愿投档的批次，调档比例原则上控制在105%以内。如生源省份投档比例有特殊规定，按生源投档比例要求执行。</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院校志愿录取：在政治思想品德考核、体检合格的前提下按第一志愿从高分到低分择优录取，第一志愿生源不足时，录取其他志愿线上考生；专业志愿录取：对于进档考生，在专业志愿优先的前提下，按照高考成绩从高分到低分择优录取（专业清），若多名考生等效分数相同时，则按单科顺序及分数从高到低排序。文科类以语文、外语、文综、数学为顺序，科目成绩高者优先录取；理科类以数学、外语、理综、语文为顺序，科目成绩高者优先录取；艺术类以专业成绩（素描、色彩、速写）、文化课成绩为顺序，科目成绩高者优先录取。如考生所报专业志愿未能录取时，服从专业调剂者，在所有专业志愿考生录取结束后，将其调剂到未录满的专业，不服从专业调剂者，作退档处理；</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学校承认各省（自治区、直辖市）招生办依据国家招生文件给予特殊考生的加分政策，对享受政策性加分或者降分投档的考生，按所在省（市、区）招生考试机构的规定投档。录取到建筑学专业的考生必需具备有一定的绘画基础。入校后须加试徒手画，加试不合格者将转入其他专业；建筑学、城乡规划、广告学、艺术类专业，有色盲、色弱者限报。</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艺术类考生还需遵循以下几点：</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吉林、江苏、浙江、湖北、河南、河北、辽宁、黑龙江、天津、山东、内蒙古、新疆、江西等省的艺术类考生必须参加当地省招生办组织的美术类专业统一考试，并取得统考合格证方可报考学校。</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录取时吉林省艺术类专业按投档考生的总分（总分=专业课成绩100%+文化课成绩60%）从高到低择优录取。</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江苏、浙江、湖北、河南、河北、辽宁、黑龙江、天津、山东、新疆、江西等省艺术类专业按投档考生的总分（总分=专业课成绩+文化课成绩）从高到低择优录取。</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内蒙古自治区艺术类专业按投档考生的文化课成绩从高到低择优录取。</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学校在江苏省录取原则除遵循以上条款外，江苏考生必测和选测科目等级均不得低于C，录取时采用“先分数、后等级”的办法进行录取.当分数相同时，先看须选选测科目等级高低，若须选选测科目等级相同，再看另一个选测科目等级高低；等级顺序为A+、A、B+、B、C。由高到低进行录取。</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学校在上海市、浙江省录取原则除遵循以上条款外，考生选考科目按照所在生源地招生主管部门公布的学校选考科目为准；如果录取原则与生源地招生主管部门制定的招生录取政策有冲突，按照当地招生主管部门公布的当年招生录取政策执行。</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Hei" w:eastAsia="SimHei" w:hAnsi="SimHei" w:cs="SimHei"/>
          <w:b/>
          <w:bCs/>
          <w:color w:val="666666"/>
        </w:rPr>
        <w:t>第十四条</w:t>
      </w:r>
      <w:r>
        <w:rPr>
          <w:rFonts w:ascii="SimSun" w:eastAsia="SimSun" w:hAnsi="SimSun" w:cs="SimSun"/>
          <w:color w:val="666666"/>
        </w:rPr>
        <w:t> 联系方式</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学校网址：http://zhaosheng.jladi.com</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通讯地址：长春市双阳区奢岭高校园区（长清公路14公里处）</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联系电话：0431-89752111,84135555</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Sun" w:eastAsia="SimSun" w:hAnsi="SimSun" w:cs="SimSun"/>
          <w:color w:val="666666"/>
        </w:rPr>
        <w:t>联系人：杨老师、李老师</w:t>
      </w:r>
    </w:p>
    <w:p>
      <w:pPr>
        <w:pBdr>
          <w:top w:val="none" w:sz="0" w:space="0" w:color="auto"/>
          <w:left w:val="none" w:sz="0" w:space="0" w:color="auto"/>
          <w:bottom w:val="none" w:sz="0" w:space="0" w:color="auto"/>
          <w:right w:val="none" w:sz="0" w:space="0" w:color="auto"/>
        </w:pBdr>
        <w:spacing w:before="0" w:after="0" w:line="405" w:lineRule="atLeast"/>
        <w:ind w:left="0" w:right="0" w:firstLine="540"/>
        <w:rPr>
          <w:rFonts w:ascii="Microsoft YaHei" w:eastAsia="Microsoft YaHei" w:hAnsi="Microsoft YaHei" w:cs="Microsoft YaHei"/>
          <w:color w:val="666666"/>
          <w:sz w:val="21"/>
          <w:szCs w:val="21"/>
        </w:rPr>
      </w:pPr>
      <w:r>
        <w:rPr>
          <w:rFonts w:ascii="SimHei" w:eastAsia="SimHei" w:hAnsi="SimHei" w:cs="SimHei"/>
          <w:b/>
          <w:bCs/>
          <w:color w:val="666666"/>
        </w:rPr>
        <w:t>第十五条</w:t>
      </w:r>
      <w:r>
        <w:rPr>
          <w:rFonts w:ascii="SimSun" w:eastAsia="SimSun" w:hAnsi="SimSun" w:cs="SimSun"/>
          <w:color w:val="666666"/>
        </w:rPr>
        <w:t> 本章程未尽事宜，按照国家招生及生源地招生主管部门政策执行。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年长春财经学院招生章程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3.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99.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8.html" TargetMode="External" /><Relationship Id="rId5" Type="http://schemas.openxmlformats.org/officeDocument/2006/relationships/hyperlink" Target="http://www.gk114.com/a/gxzs/zszc/liaoning/2019/0625/1022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