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长春汽车工业高等专科学校</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w:t>
      </w:r>
      <w:r>
        <w:rPr>
          <w:rFonts w:ascii="Microsoft YaHei" w:eastAsia="Microsoft YaHei" w:hAnsi="Microsoft YaHei" w:cs="Microsoft YaHei"/>
          <w:color w:val="666666"/>
          <w:sz w:val="21"/>
          <w:szCs w:val="21"/>
        </w:rPr>
        <w:t>全称：长春汽车工业高等专科学校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办学类型：普通</w:t>
      </w:r>
      <w:r>
        <w:rPr>
          <w:rFonts w:ascii="Microsoft YaHei" w:eastAsia="Microsoft YaHei" w:hAnsi="Microsoft YaHei" w:cs="Microsoft YaHei"/>
          <w:color w:val="666666"/>
          <w:sz w:val="21"/>
          <w:szCs w:val="21"/>
        </w:rPr>
        <w:t>公办</w:t>
      </w:r>
      <w:r>
        <w:rPr>
          <w:rFonts w:ascii="Microsoft YaHei" w:eastAsia="Microsoft YaHei" w:hAnsi="Microsoft YaHei" w:cs="Microsoft YaHei"/>
          <w:color w:val="666666"/>
          <w:sz w:val="21"/>
          <w:szCs w:val="21"/>
        </w:rPr>
        <w:t>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w:t>
      </w:r>
      <w:r>
        <w:rPr>
          <w:rFonts w:ascii="Microsoft YaHei" w:eastAsia="Microsoft YaHei" w:hAnsi="Microsoft YaHei" w:cs="Microsoft YaHei"/>
          <w:color w:val="666666"/>
          <w:sz w:val="21"/>
          <w:szCs w:val="21"/>
        </w:rPr>
        <w:t>地</w:t>
      </w:r>
      <w:r>
        <w:rPr>
          <w:rFonts w:ascii="Microsoft YaHei" w:eastAsia="Microsoft YaHei" w:hAnsi="Microsoft YaHei" w:cs="Microsoft YaHei"/>
          <w:color w:val="666666"/>
          <w:sz w:val="21"/>
          <w:szCs w:val="21"/>
        </w:rPr>
        <w:t>址</w:t>
      </w:r>
      <w:r>
        <w:rPr>
          <w:rFonts w:ascii="Microsoft YaHei" w:eastAsia="Microsoft YaHei" w:hAnsi="Microsoft YaHei" w:cs="Microsoft YaHei"/>
          <w:color w:val="666666"/>
          <w:sz w:val="21"/>
          <w:szCs w:val="21"/>
        </w:rPr>
        <w:t>：吉林省长春市</w:t>
      </w:r>
      <w:r>
        <w:rPr>
          <w:rFonts w:ascii="Microsoft YaHei" w:eastAsia="Microsoft YaHei" w:hAnsi="Microsoft YaHei" w:cs="Microsoft YaHei"/>
          <w:color w:val="666666"/>
          <w:sz w:val="21"/>
          <w:szCs w:val="21"/>
        </w:rPr>
        <w:t>长春</w:t>
      </w:r>
      <w:r>
        <w:rPr>
          <w:rFonts w:ascii="Microsoft YaHei" w:eastAsia="Microsoft YaHei" w:hAnsi="Microsoft YaHei" w:cs="Microsoft YaHei"/>
          <w:color w:val="666666"/>
          <w:sz w:val="21"/>
          <w:szCs w:val="21"/>
        </w:rPr>
        <w:t>汽车经济技术开发区特殊镇繁荣村委会</w:t>
      </w:r>
      <w:r>
        <w:rPr>
          <w:rFonts w:ascii="Microsoft YaHei" w:eastAsia="Microsoft YaHei" w:hAnsi="Microsoft YaHei" w:cs="Microsoft YaHei"/>
          <w:color w:val="666666"/>
          <w:sz w:val="21"/>
          <w:szCs w:val="21"/>
        </w:rPr>
        <w:t>新红旗大街</w:t>
      </w:r>
      <w:r>
        <w:rPr>
          <w:rFonts w:ascii="Microsoft YaHei" w:eastAsia="Microsoft YaHei" w:hAnsi="Microsoft YaHei" w:cs="Microsoft YaHei"/>
          <w:color w:val="666666"/>
          <w:sz w:val="21"/>
          <w:szCs w:val="21"/>
        </w:rPr>
        <w:t>1777</w:t>
      </w:r>
      <w:r>
        <w:rPr>
          <w:rFonts w:ascii="Microsoft YaHei" w:eastAsia="Microsoft YaHei" w:hAnsi="Microsoft YaHei" w:cs="Microsoft YaHei"/>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学生完成培养方案要求的教学内容，成绩合格，符合毕业条件，专科毕业生由长春汽车工业高等专科学校颁发国家规定的专科毕业证书。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专科专业：汽车制造与试验技术</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汽车电子技术专业学费标准为每生每学年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现代物流管理专业学费标准为每生每学年</w:t>
      </w:r>
      <w:r>
        <w:rPr>
          <w:rFonts w:ascii="Microsoft YaHei" w:eastAsia="Microsoft YaHei" w:hAnsi="Microsoft YaHei" w:cs="Microsoft YaHei"/>
          <w:color w:val="666666"/>
          <w:sz w:val="21"/>
          <w:szCs w:val="21"/>
        </w:rPr>
        <w:t>6900.00元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模具设计与制造专业学费标准为每生每学年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保险实务专业学费标准为每生每学年</w:t>
      </w:r>
      <w:r>
        <w:rPr>
          <w:rFonts w:ascii="Microsoft YaHei" w:eastAsia="Microsoft YaHei" w:hAnsi="Microsoft YaHei" w:cs="Microsoft YaHei"/>
          <w:color w:val="666666"/>
          <w:sz w:val="21"/>
          <w:szCs w:val="21"/>
        </w:rPr>
        <w:t>6900.00元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汽车造型与改装技术专业学费标准为每生每学年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智能焊接技术专业学费标准为每生每学年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机械制造及自动化专业学费标准为每生每学年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汽车制造与试验技术（四年）专业学费标准为每生每学年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电气自动化技术（四年）专业学费标准为每生每学年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数控技术（四年）专业学费标准为每生每学年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智能制造装备技术专业学费标准为每生每学年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工业机器人技术（四年）专业学费标准为每生每学年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汽车技术服务与营销专业学费标准为每生每学年</w:t>
      </w:r>
      <w:r>
        <w:rPr>
          <w:rFonts w:ascii="Microsoft YaHei" w:eastAsia="Microsoft YaHei" w:hAnsi="Microsoft YaHei" w:cs="Microsoft YaHei"/>
          <w:color w:val="666666"/>
          <w:sz w:val="21"/>
          <w:szCs w:val="21"/>
        </w:rPr>
        <w:t>6900.00元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统计与会计核算专业学费标准为每生每学年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智能控制技术专业学费标准为每生每学年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工业工程技术专业学费标准为每生每学年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工业产品质量检测技术专业学费标准为每生每学年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工业设计专业学费标准为每生每学年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数字媒体技术专业学费标准为每生每学年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人工智能技术应用专业学费标准为每生每学年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氢能技术应用专业学费标准为每生每学年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信息安全技术应用专业学费标准为每生每学年</w:t>
      </w:r>
      <w:r>
        <w:rPr>
          <w:rFonts w:ascii="Microsoft YaHei" w:eastAsia="Microsoft YaHei" w:hAnsi="Microsoft YaHei" w:cs="Microsoft YaHei"/>
          <w:color w:val="666666"/>
          <w:sz w:val="21"/>
          <w:szCs w:val="21"/>
        </w:rPr>
        <w:t>5500.00元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云计算技术应用专业学费标准为每生每学年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物流工程技术（四年）专业学费标准为每生每学年</w:t>
      </w:r>
      <w:r>
        <w:rPr>
          <w:rFonts w:ascii="Microsoft YaHei" w:eastAsia="Microsoft YaHei" w:hAnsi="Microsoft YaHei" w:cs="Microsoft YaHei"/>
          <w:color w:val="666666"/>
          <w:sz w:val="21"/>
          <w:szCs w:val="21"/>
        </w:rPr>
        <w:t>5500.00元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智能机器人技术专业学费标准为每生每学年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新能源汽车检测与维修技术专业学费标准为每生每学年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汽车智能技术专业学费标准为每生每学年</w:t>
      </w:r>
      <w:r>
        <w:rPr>
          <w:rFonts w:ascii="Microsoft YaHei" w:eastAsia="Microsoft YaHei" w:hAnsi="Microsoft YaHei" w:cs="Microsoft YaHei"/>
          <w:color w:val="666666"/>
          <w:sz w:val="21"/>
          <w:szCs w:val="21"/>
        </w:rPr>
        <w:t>7980.00元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物联网应用技术专业学费标准为每生每学年</w:t>
      </w:r>
      <w:r>
        <w:rPr>
          <w:rFonts w:ascii="Microsoft YaHei" w:eastAsia="Microsoft YaHei" w:hAnsi="Microsoft YaHei" w:cs="Microsoft YaHei"/>
          <w:color w:val="666666"/>
          <w:sz w:val="21"/>
          <w:szCs w:val="21"/>
        </w:rPr>
        <w:t>5500.00元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移动互联应用技术专业学费标准为每生每学年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电子信息工程技术专业学费标准为每生每学年</w:t>
      </w:r>
      <w:r>
        <w:rPr>
          <w:rFonts w:ascii="Microsoft YaHei" w:eastAsia="Microsoft YaHei" w:hAnsi="Microsoft YaHei" w:cs="Microsoft YaHei"/>
          <w:color w:val="666666"/>
          <w:sz w:val="21"/>
          <w:szCs w:val="21"/>
        </w:rPr>
        <w:t>5500.00元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广播影视节目制作专业学费标准为每生每学年</w:t>
      </w:r>
      <w:r>
        <w:rPr>
          <w:rFonts w:ascii="Microsoft YaHei" w:eastAsia="Microsoft YaHei" w:hAnsi="Microsoft YaHei" w:cs="Microsoft YaHei"/>
          <w:color w:val="666666"/>
          <w:sz w:val="21"/>
          <w:szCs w:val="21"/>
        </w:rPr>
        <w:t>6000.00元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高校</w:t>
      </w:r>
      <w:r>
        <w:rPr>
          <w:rFonts w:ascii="Microsoft YaHei" w:eastAsia="Microsoft YaHei" w:hAnsi="Microsoft YaHei" w:cs="Microsoft YaHei"/>
          <w:color w:val="666666"/>
          <w:sz w:val="21"/>
          <w:szCs w:val="21"/>
        </w:rPr>
        <w:t>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w:t>
      </w:r>
      <w:r>
        <w:rPr>
          <w:rFonts w:ascii="Microsoft YaHei" w:eastAsia="Microsoft YaHei" w:hAnsi="Microsoft YaHei" w:cs="Microsoft YaHei"/>
          <w:color w:val="666666"/>
          <w:sz w:val="21"/>
          <w:szCs w:val="21"/>
        </w:rPr>
        <w:t>“绿色通道”等内容。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此外，我校校内资助还设立校长奖学金、学业奖学金、单项奖学金、勤工助学、实习住宿补助、临时困难补助等内容。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各专业统考外语语种不限。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执行教育部、</w:t>
      </w:r>
      <w:r>
        <w:rPr>
          <w:rFonts w:ascii="Microsoft YaHei" w:eastAsia="Microsoft YaHei" w:hAnsi="Microsoft YaHei" w:cs="Microsoft YaHei"/>
          <w:color w:val="666666"/>
          <w:sz w:val="21"/>
          <w:szCs w:val="21"/>
        </w:rPr>
        <w:t>原</w:t>
      </w:r>
      <w:r>
        <w:rPr>
          <w:rFonts w:ascii="Microsoft YaHei" w:eastAsia="Microsoft YaHei" w:hAnsi="Microsoft YaHei" w:cs="Microsoft YaHei"/>
          <w:color w:val="666666"/>
          <w:sz w:val="21"/>
          <w:szCs w:val="21"/>
        </w:rPr>
        <w:t>卫生部、中国残疾人联合会</w:t>
      </w:r>
      <w:r>
        <w:rPr>
          <w:rFonts w:ascii="Microsoft YaHei" w:eastAsia="Microsoft YaHei" w:hAnsi="Microsoft YaHei" w:cs="Microsoft YaHei"/>
          <w:color w:val="666666"/>
          <w:sz w:val="21"/>
          <w:szCs w:val="21"/>
        </w:rPr>
        <w:t>印发</w:t>
      </w:r>
      <w:r>
        <w:rPr>
          <w:rFonts w:ascii="Microsoft YaHei" w:eastAsia="Microsoft YaHei" w:hAnsi="Microsoft YaHei" w:cs="Microsoft YaHei"/>
          <w:color w:val="666666"/>
          <w:sz w:val="21"/>
          <w:szCs w:val="21"/>
        </w:rPr>
        <w:t>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按照顺序志愿投档的批次，学校调阅考生档案的比例原则上控制在</w:t>
      </w:r>
      <w:r>
        <w:rPr>
          <w:rFonts w:ascii="Microsoft YaHei" w:eastAsia="Microsoft YaHei" w:hAnsi="Microsoft YaHei" w:cs="Microsoft YaHei"/>
          <w:color w:val="666666"/>
          <w:sz w:val="21"/>
          <w:szCs w:val="21"/>
        </w:rPr>
        <w:t>120%以内。按照平行志愿投档的批次，调档比例原则上控制在105%以内。如生源省份投档比例有特殊规定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按生源投档比例要求执行。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2.普通高考</w:t>
      </w:r>
      <w:r>
        <w:rPr>
          <w:rFonts w:ascii="Microsoft YaHei" w:eastAsia="Microsoft YaHei" w:hAnsi="Microsoft YaHei" w:cs="Microsoft YaHei"/>
          <w:color w:val="666666"/>
          <w:sz w:val="21"/>
          <w:szCs w:val="21"/>
        </w:rPr>
        <w:t>录取原则（内蒙古自治区除外）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分数优先原则，对于进档考生，根据考生投档分数</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优先满足高分考生专业志愿。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优中选优原则，对于</w:t>
      </w:r>
      <w:r>
        <w:rPr>
          <w:rFonts w:ascii="Microsoft YaHei" w:eastAsia="Microsoft YaHei" w:hAnsi="Microsoft YaHei" w:cs="Microsoft YaHei"/>
          <w:color w:val="666666"/>
          <w:sz w:val="21"/>
          <w:szCs w:val="21"/>
        </w:rPr>
        <w:t>投档分数</w:t>
      </w:r>
      <w:r>
        <w:rPr>
          <w:rFonts w:ascii="Microsoft YaHei" w:eastAsia="Microsoft YaHei" w:hAnsi="Microsoft YaHei" w:cs="Microsoft YaHei"/>
          <w:color w:val="666666"/>
          <w:sz w:val="21"/>
          <w:szCs w:val="21"/>
        </w:rPr>
        <w:t>相同的考生，按考试科目顺序及分数高低排序，科目顺序为数学、外语、语文。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完成院校计划原则，即在第一志愿未完成招生计划时</w:t>
      </w:r>
      <w:r>
        <w:rPr>
          <w:rFonts w:ascii="Microsoft YaHei" w:eastAsia="Microsoft YaHei" w:hAnsi="Microsoft YaHei" w:cs="Microsoft YaHei"/>
          <w:color w:val="666666"/>
          <w:sz w:val="21"/>
          <w:szCs w:val="21"/>
        </w:rPr>
        <w:t>,招收非第一志愿考生。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完成专业计划原则，对服从专业调剂的考生，在未被所报专业录取的情况下，依据分数高低调剂到学校未录满的专业。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3.内蒙古自治区按专业志愿清执行，具体要求以内蒙古自治区招生委员会</w:t>
      </w:r>
      <w:r>
        <w:rPr>
          <w:rFonts w:ascii="Microsoft YaHei" w:eastAsia="Microsoft YaHei" w:hAnsi="Microsoft YaHei" w:cs="Microsoft YaHei"/>
          <w:color w:val="666666"/>
          <w:sz w:val="21"/>
          <w:szCs w:val="21"/>
        </w:rPr>
        <w:t>本年度</w:t>
      </w:r>
      <w:r>
        <w:rPr>
          <w:rFonts w:ascii="Microsoft YaHei" w:eastAsia="Microsoft YaHei" w:hAnsi="Microsoft YaHei" w:cs="Microsoft YaHei"/>
          <w:color w:val="666666"/>
          <w:sz w:val="21"/>
          <w:szCs w:val="21"/>
        </w:rPr>
        <w:t>相关文件为准。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4.对有政策照顾加分或降分投档考生的处理，按教育部有关文件精神和考生所在省招生委员会的有关规定执行。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对同</w:t>
      </w:r>
      <w:r>
        <w:rPr>
          <w:rFonts w:ascii="Microsoft YaHei" w:eastAsia="Microsoft YaHei" w:hAnsi="Microsoft YaHei" w:cs="Microsoft YaHei"/>
          <w:color w:val="666666"/>
          <w:sz w:val="21"/>
          <w:szCs w:val="21"/>
        </w:rPr>
        <w:t>批次同</w:t>
      </w:r>
      <w:r>
        <w:rPr>
          <w:rFonts w:ascii="Microsoft YaHei" w:eastAsia="Microsoft YaHei" w:hAnsi="Microsoft YaHei" w:cs="Microsoft YaHei"/>
          <w:color w:val="666666"/>
          <w:sz w:val="21"/>
          <w:szCs w:val="21"/>
        </w:rPr>
        <w:t>一院校志愿报考我校未能按</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志愿录取，且不服从调剂的考生</w:t>
      </w:r>
      <w:r>
        <w:rPr>
          <w:rFonts w:ascii="Microsoft YaHei" w:eastAsia="Microsoft YaHei" w:hAnsi="Microsoft YaHei" w:cs="Microsoft YaHei"/>
          <w:color w:val="666666"/>
          <w:sz w:val="21"/>
          <w:szCs w:val="21"/>
        </w:rPr>
        <w:t>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http://www.caii.edu.cn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通讯地址：吉林省长春市</w:t>
      </w:r>
      <w:r>
        <w:rPr>
          <w:rFonts w:ascii="Microsoft YaHei" w:eastAsia="Microsoft YaHei" w:hAnsi="Microsoft YaHei" w:cs="Microsoft YaHei"/>
          <w:color w:val="666666"/>
          <w:sz w:val="21"/>
          <w:szCs w:val="21"/>
        </w:rPr>
        <w:t>长春</w:t>
      </w:r>
      <w:r>
        <w:rPr>
          <w:rFonts w:ascii="Microsoft YaHei" w:eastAsia="Microsoft YaHei" w:hAnsi="Microsoft YaHei" w:cs="Microsoft YaHei"/>
          <w:color w:val="666666"/>
          <w:sz w:val="21"/>
          <w:szCs w:val="21"/>
        </w:rPr>
        <w:t>汽车经济技术开发区繁荣村委会</w:t>
      </w:r>
      <w:r>
        <w:rPr>
          <w:rFonts w:ascii="Microsoft YaHei" w:eastAsia="Microsoft YaHei" w:hAnsi="Microsoft YaHei" w:cs="Microsoft YaHei"/>
          <w:color w:val="666666"/>
          <w:sz w:val="21"/>
          <w:szCs w:val="21"/>
        </w:rPr>
        <w:t>新红旗大街</w:t>
      </w:r>
      <w:r>
        <w:rPr>
          <w:rFonts w:ascii="Microsoft YaHei" w:eastAsia="Microsoft YaHei" w:hAnsi="Microsoft YaHei" w:cs="Microsoft YaHei"/>
          <w:color w:val="666666"/>
          <w:sz w:val="21"/>
          <w:szCs w:val="21"/>
        </w:rPr>
        <w:t>1777</w:t>
      </w:r>
      <w:r>
        <w:rPr>
          <w:rFonts w:ascii="Microsoft YaHei" w:eastAsia="Microsoft YaHei" w:hAnsi="Microsoft YaHei" w:cs="Microsoft YaHei"/>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0431-</w:t>
      </w:r>
      <w:r>
        <w:rPr>
          <w:rFonts w:ascii="Microsoft YaHei" w:eastAsia="Microsoft YaHei" w:hAnsi="Microsoft YaHei" w:cs="Microsoft YaHei"/>
          <w:color w:val="666666"/>
          <w:sz w:val="21"/>
          <w:szCs w:val="21"/>
        </w:rPr>
        <w:t>85751854 85751826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w:t>
      </w:r>
      <w:r>
        <w:rPr>
          <w:rFonts w:ascii="Microsoft YaHei" w:eastAsia="Microsoft YaHei" w:hAnsi="Microsoft YaHei" w:cs="Microsoft YaHei"/>
          <w:color w:val="666666"/>
          <w:sz w:val="21"/>
          <w:szCs w:val="21"/>
        </w:rPr>
        <w:t>陈老师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此章程由学校负责解释</w:t>
      </w:r>
      <w:r>
        <w:rPr>
          <w:rFonts w:ascii="Microsoft YaHei" w:eastAsia="Microsoft YaHei" w:hAnsi="Microsoft YaHei" w:cs="Microsoft YaHei"/>
          <w:color w:val="666666"/>
          <w:sz w:val="21"/>
          <w:szCs w:val="21"/>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3.html" TargetMode="External" /><Relationship Id="rId16" Type="http://schemas.openxmlformats.org/officeDocument/2006/relationships/hyperlink" Target="http://www.gk114.com/a/gxzs/zszc/jilin/2022/0508/22361.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66.html" TargetMode="External" /><Relationship Id="rId5" Type="http://schemas.openxmlformats.org/officeDocument/2006/relationships/hyperlink" Target="http://www.gk114.com/a/gxzs/zszc/jilin/2022/0508/2236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