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color w:val="666666"/>
          <w:sz w:val="21"/>
          <w:szCs w:val="21"/>
        </w:rPr>
      </w:pPr>
      <w:r>
        <w:rPr>
          <w:rFonts w:ascii="SimHei" w:eastAsia="SimHei" w:hAnsi="SimHei" w:cs="SimHei"/>
          <w:b/>
          <w:bCs/>
          <w:color w:val="666666"/>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第一条</w:t>
      </w:r>
      <w:r>
        <w:rPr>
          <w:rFonts w:ascii="SimSun" w:eastAsia="SimSun" w:hAnsi="SimSun" w:cs="SimSun"/>
          <w:color w:val="666666"/>
        </w:rPr>
        <w:t>  </w:t>
      </w:r>
      <w:r>
        <w:rPr>
          <w:rFonts w:ascii="SimSun" w:eastAsia="SimSun" w:hAnsi="SimSun" w:cs="SimSun"/>
          <w:color w:val="666666"/>
        </w:rPr>
        <w:t>为规范我校今年招生工作，依据《中华人民共和国教育法》、《中华人民共和国高等教育法》等法律法规以及教育部有关规定，特制定本章程。</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第二条</w:t>
      </w:r>
      <w:r>
        <w:rPr>
          <w:rFonts w:ascii="SimSun" w:eastAsia="SimSun" w:hAnsi="SimSun" w:cs="SimSun"/>
          <w:color w:val="666666"/>
        </w:rPr>
        <w:t>  本章程适用于我校今年普通高等教育的本科、专科层次招生工作。</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第三条</w:t>
      </w:r>
      <w:r>
        <w:rPr>
          <w:rFonts w:ascii="SimSun" w:eastAsia="SimSun" w:hAnsi="SimSun" w:cs="SimSun"/>
          <w:color w:val="666666"/>
        </w:rPr>
        <w:t>  学校全称：长春科技学院</w:t>
      </w:r>
      <w:r>
        <w:rPr>
          <w:rFonts w:ascii="SimSun" w:eastAsia="SimSun" w:hAnsi="SimSun" w:cs="SimSun"/>
          <w:color w:val="666666"/>
        </w:rPr>
        <w:br/>
      </w:r>
      <w:r>
        <w:rPr>
          <w:rFonts w:ascii="SimSun" w:eastAsia="SimSun" w:hAnsi="SimSun" w:cs="SimSun"/>
          <w:color w:val="666666"/>
        </w:rPr>
        <w:t>            办学类型：普通高等学校</w:t>
      </w:r>
      <w:r>
        <w:rPr>
          <w:rFonts w:ascii="SimSun" w:eastAsia="SimSun" w:hAnsi="SimSun" w:cs="SimSun"/>
          <w:color w:val="666666"/>
        </w:rPr>
        <w:br/>
      </w:r>
      <w:r>
        <w:rPr>
          <w:rFonts w:ascii="SimSun" w:eastAsia="SimSun" w:hAnsi="SimSun" w:cs="SimSun"/>
          <w:color w:val="666666"/>
        </w:rPr>
        <w:t>            学校性质：民办</w:t>
      </w:r>
      <w:r>
        <w:rPr>
          <w:rFonts w:ascii="SimSun" w:eastAsia="SimSun" w:hAnsi="SimSun" w:cs="SimSun"/>
          <w:color w:val="666666"/>
        </w:rPr>
        <w:br/>
      </w:r>
      <w:r>
        <w:rPr>
          <w:rFonts w:ascii="SimSun" w:eastAsia="SimSun" w:hAnsi="SimSun" w:cs="SimSun"/>
          <w:color w:val="666666"/>
        </w:rPr>
        <w:t>            招生层次：本科、专科</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第四条</w:t>
      </w:r>
      <w:r>
        <w:rPr>
          <w:rFonts w:ascii="SimSun" w:eastAsia="SimSun" w:hAnsi="SimSun" w:cs="SimSun"/>
          <w:color w:val="666666"/>
        </w:rPr>
        <w:t>  学校地址：吉林省长春市双阳区东华大街（路）１６９９号。</w:t>
      </w:r>
    </w:p>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color w:val="666666"/>
          <w:sz w:val="21"/>
          <w:szCs w:val="21"/>
        </w:rPr>
      </w:pPr>
      <w:r>
        <w:rPr>
          <w:rFonts w:ascii="SimHei" w:eastAsia="SimHei" w:hAnsi="SimHei" w:cs="SimHei"/>
          <w:b/>
          <w:bCs/>
          <w:color w:val="666666"/>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360"/>
        <w:rPr>
          <w:rFonts w:ascii="Microsoft YaHei" w:eastAsia="Microsoft YaHei" w:hAnsi="Microsoft YaHei" w:cs="Microsoft YaHei"/>
          <w:color w:val="666666"/>
          <w:sz w:val="21"/>
          <w:szCs w:val="21"/>
        </w:rPr>
      </w:pPr>
      <w:r>
        <w:rPr>
          <w:rFonts w:ascii="SimSun" w:eastAsia="SimSun" w:hAnsi="SimSun" w:cs="SimSun"/>
          <w:b/>
          <w:bCs/>
          <w:color w:val="666666"/>
        </w:rPr>
        <w:t> 第五条  </w:t>
      </w:r>
      <w:r>
        <w:rPr>
          <w:rFonts w:ascii="SimSun" w:eastAsia="SimSun" w:hAnsi="SimSun" w:cs="SimSun"/>
          <w:color w:val="666666"/>
        </w:rPr>
        <w:t>学费收取标准</w:t>
      </w: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本科专业：</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3547"/>
        <w:gridCol w:w="6582"/>
        <w:gridCol w:w="4077"/>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15"/>
        </w:trPr>
        <w:tc>
          <w:tcPr>
            <w:tcW w:w="202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专业代码</w:t>
            </w:r>
          </w:p>
        </w:tc>
        <w:tc>
          <w:tcPr>
            <w:tcW w:w="40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专业名称</w:t>
            </w:r>
          </w:p>
        </w:tc>
        <w:tc>
          <w:tcPr>
            <w:tcW w:w="24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收费标准</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082701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食品科学与工程</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082702</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食品质量与安全</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082502</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环境工程</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083001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生物工程</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090502</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园林</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090301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动物科学</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070302</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应用化学</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050103</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汉语国际教育</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090102</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园艺</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120201K</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工商管理</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120202</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市场营销</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120204</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财务管理</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120901K</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旅游管理</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120206</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人力资源管理</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120105</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工程造价</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120801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电子商务</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081001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土木工程</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14400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081003</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给排水科学与工程</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14400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081006T</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道路桥梁与渡河工程</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14400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082803</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风景园林</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14400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082801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建筑学（五年制）</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14400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080202</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机械设计制造及其自动化</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020401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国际经济与贸易</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020301K</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金融学</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020303</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保险学</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080207</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车辆工程</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020302</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金融工程</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080204</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机械电子工程</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080714T</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电子信息科学与技术</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080903</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网络工程</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080901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计算机科学与技术</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080802T</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轨道交通信号与控制</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080801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自动化</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090401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动物医学</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100801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中药学</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050201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英语</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050209</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朝鲜语</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050207</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日语</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101101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护理学</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101005</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康复治疗学</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16800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100501K</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中医学（五年制）</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27000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101004</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眼视光学</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26000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130502</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视觉传达设计</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19200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130503</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环境设计</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19200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130504</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产品设计</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19200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130508</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数字媒体艺术</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21600</w:t>
            </w:r>
          </w:p>
        </w:tc>
      </w:tr>
      <w:tr>
        <w:tblPrEx>
          <w:tblW w:w="14326" w:type="dxa"/>
          <w:tblInd w:w="165" w:type="dxa"/>
          <w:tblCellMar>
            <w:top w:w="0" w:type="dxa"/>
            <w:left w:w="0" w:type="dxa"/>
            <w:bottom w:w="0" w:type="dxa"/>
            <w:right w:w="0" w:type="dxa"/>
          </w:tblCellMar>
        </w:tblPrEx>
        <w:trPr>
          <w:trHeight w:val="315"/>
        </w:trPr>
        <w:tc>
          <w:tcPr>
            <w:tcW w:w="202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130401</w:t>
            </w:r>
          </w:p>
        </w:tc>
        <w:tc>
          <w:tcPr>
            <w:tcW w:w="40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美术学</w:t>
            </w:r>
          </w:p>
        </w:tc>
        <w:tc>
          <w:tcPr>
            <w:tcW w:w="24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18000</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323E32"/>
        </w:rPr>
        <w:t> </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23E32"/>
        </w:rPr>
        <w:t>专科专业：</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185"/>
        <w:gridCol w:w="5851"/>
        <w:gridCol w:w="4170"/>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50"/>
        </w:trPr>
        <w:tc>
          <w:tcPr>
            <w:tcW w:w="249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专业代码</w:t>
            </w:r>
          </w:p>
        </w:tc>
        <w:tc>
          <w:tcPr>
            <w:tcW w:w="36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专业名称</w:t>
            </w:r>
          </w:p>
        </w:tc>
        <w:tc>
          <w:tcPr>
            <w:tcW w:w="25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收费标准</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560702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汽车检测与维修技术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10900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630701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市场营销</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10900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630801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电子商务</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10900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560610</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无人机应用技术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590202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药品生产技术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600606</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城市轨道交通运营管理</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600112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高速铁路客运乘务</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640101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旅游管理</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10900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600405</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空中乘务</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12600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540301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建筑工程技术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9900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540502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工程造价</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9900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560103</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数控技术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630301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财务管理</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630302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会计</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630201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金融管理</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560309</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工业机器人技术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560102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机械制造与自动化</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560302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电气自动化技术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13800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610201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计算机应用技术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14400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510302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动物医学</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670209</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应用俄语</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620201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护理</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620501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康复治疗技术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12600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620405</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口腔医学技术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620401</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医学检验技术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620302</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中药学</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15000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620102K</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口腔医学</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18600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620407</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眼视光技术★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12600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630408</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医学美容技术★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12600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620503</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中医康复技术★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12600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650103</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广告设计与制作</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12600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520903</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救援技术</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12000</w:t>
            </w:r>
          </w:p>
        </w:tc>
      </w:tr>
      <w:tr>
        <w:tblPrEx>
          <w:tblW w:w="14326" w:type="dxa"/>
          <w:tblInd w:w="165" w:type="dxa"/>
          <w:tblCellMar>
            <w:top w:w="0" w:type="dxa"/>
            <w:left w:w="0" w:type="dxa"/>
            <w:bottom w:w="0" w:type="dxa"/>
            <w:right w:w="0" w:type="dxa"/>
          </w:tblCellMar>
        </w:tblPrEx>
        <w:trPr>
          <w:trHeight w:val="450"/>
        </w:trPr>
        <w:tc>
          <w:tcPr>
            <w:tcW w:w="24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610215</w:t>
            </w:r>
          </w:p>
        </w:tc>
        <w:tc>
          <w:tcPr>
            <w:tcW w:w="36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大数据技术与应用</w:t>
            </w:r>
          </w:p>
        </w:tc>
        <w:tc>
          <w:tcPr>
            <w:tcW w:w="25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type="textWrapping" w:clear="all"/>
      </w:r>
      <w:r>
        <w:rPr>
          <w:rFonts w:ascii="SimHei" w:eastAsia="SimHei" w:hAnsi="SimHei" w:cs="SimHei"/>
          <w:color w:val="666666"/>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第六条</w:t>
      </w:r>
      <w:r>
        <w:rPr>
          <w:rFonts w:ascii="SimSun" w:eastAsia="SimSun" w:hAnsi="SimSun" w:cs="SimSun"/>
          <w:color w:val="666666"/>
        </w:rPr>
        <w:t>  </w:t>
      </w:r>
      <w:r>
        <w:rPr>
          <w:rFonts w:ascii="SimSun" w:eastAsia="SimSun" w:hAnsi="SimSun" w:cs="SimSun"/>
          <w:color w:val="666666"/>
        </w:rPr>
        <w:t>学生完成培养方案要求的教学内容，成绩合格，符合毕业条件，</w:t>
      </w:r>
      <w:r>
        <w:rPr>
          <w:rFonts w:ascii="SimSun" w:eastAsia="SimSun" w:hAnsi="SimSun" w:cs="SimSun"/>
          <w:color w:val="666666"/>
        </w:rPr>
        <w:br/>
      </w:r>
      <w:r>
        <w:rPr>
          <w:rFonts w:ascii="SimSun" w:eastAsia="SimSun" w:hAnsi="SimSun" w:cs="SimSun"/>
          <w:color w:val="666666"/>
        </w:rPr>
        <w:t>本科毕业生由长春科技学院颁发国家规定的本科毕业证书。高职毕业生由长春科技学院颁发国家规定的专科(高职)毕业证书。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80"/>
        <w:jc w:val="center"/>
        <w:rPr>
          <w:rFonts w:ascii="Microsoft YaHei" w:eastAsia="Microsoft YaHei" w:hAnsi="Microsoft YaHei" w:cs="Microsoft YaHei"/>
          <w:color w:val="666666"/>
          <w:sz w:val="21"/>
          <w:szCs w:val="21"/>
        </w:rPr>
      </w:pPr>
      <w:r>
        <w:rPr>
          <w:rFonts w:ascii="SimHei" w:eastAsia="SimHei" w:hAnsi="SimHei" w:cs="SimHei"/>
          <w:color w:val="666666"/>
        </w:rPr>
        <w:t>第四章</w:t>
      </w:r>
      <w:r>
        <w:rPr>
          <w:rFonts w:ascii="Calibri" w:eastAsia="Calibri" w:hAnsi="Calibri" w:cs="Calibri"/>
          <w:color w:val="666666"/>
        </w:rPr>
        <w:t>  </w:t>
      </w:r>
      <w:r>
        <w:rPr>
          <w:rFonts w:ascii="SimHei" w:eastAsia="SimHei" w:hAnsi="SimHei" w:cs="SimHei"/>
          <w:color w:val="666666"/>
        </w:rPr>
        <w:t>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333333"/>
        </w:rPr>
        <w:t>第七条  </w:t>
      </w:r>
      <w:r>
        <w:rPr>
          <w:rFonts w:ascii="SimSun" w:eastAsia="SimSun" w:hAnsi="SimSun" w:cs="SimSun"/>
          <w:color w:val="333333"/>
        </w:rPr>
        <w:t>高校家庭经济困难学生国家资助政策主要内容</w:t>
      </w:r>
    </w:p>
    <w:p>
      <w:pPr>
        <w:pBdr>
          <w:top w:val="none" w:sz="0" w:space="0" w:color="auto"/>
          <w:left w:val="none" w:sz="0" w:space="0" w:color="auto"/>
          <w:bottom w:val="none" w:sz="0" w:space="0" w:color="auto"/>
          <w:right w:val="none" w:sz="0" w:space="0" w:color="auto"/>
        </w:pBdr>
        <w:spacing w:before="315" w:after="31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315" w:after="315"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第八条</w:t>
      </w:r>
      <w:r>
        <w:rPr>
          <w:rFonts w:ascii="SimSun" w:eastAsia="SimSun" w:hAnsi="SimSun" w:cs="SimSun"/>
          <w:color w:val="666666"/>
        </w:rPr>
        <w:t>  </w:t>
      </w:r>
      <w:r>
        <w:rPr>
          <w:rFonts w:ascii="SimSun" w:eastAsia="SimSun" w:hAnsi="SimSun" w:cs="SimSun"/>
          <w:color w:val="666666"/>
        </w:rPr>
        <w:t>高校家庭经济困难学生校内资助政策主要内容</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我校从学费收入中提取5%的资金用于奖励和资助学生，具体有以下几种资助形式。</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1</w:t>
      </w:r>
      <w:r>
        <w:rPr>
          <w:rFonts w:ascii="SimSun" w:eastAsia="SimSun" w:hAnsi="SimSun" w:cs="SimSun"/>
          <w:color w:val="666666"/>
        </w:rPr>
        <w:t>．学校奖学金</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(1)</w:t>
      </w:r>
      <w:r>
        <w:rPr>
          <w:rFonts w:ascii="SimSun" w:eastAsia="SimSun" w:hAnsi="SimSun" w:cs="SimSun"/>
          <w:color w:val="666666"/>
        </w:rPr>
        <w:t>学校奖学金主要是奖励品学兼优，全日制在校本专科二年级以上（含二年级）的学生。奖学金分为三个等级，一等奖学金按年级和专业人数分配名额，占学生总人数的2%，每人每年1000元；二、三等奖学金按班级人数分配名额，二等奖学金按班级学生总数的3%评定，每人每年500元；三等奖学金按班级学生总数的10%评定，每人每年200元。</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(2)</w:t>
      </w:r>
      <w:r>
        <w:rPr>
          <w:rFonts w:ascii="SimSun" w:eastAsia="SimSun" w:hAnsi="SimSun" w:cs="SimSun"/>
          <w:color w:val="666666"/>
        </w:rPr>
        <w:t>吉林省东鳌鹿业科技开发有限公司东鳌奖学金主要奖励品学兼优的学生和资助家庭经济困难的学生。</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2</w:t>
      </w:r>
      <w:r>
        <w:rPr>
          <w:rFonts w:ascii="SimSun" w:eastAsia="SimSun" w:hAnsi="SimSun" w:cs="SimSun"/>
          <w:color w:val="666666"/>
        </w:rPr>
        <w:t>．困难补助</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学生困难补助是学校对学生或学生家庭遭受重大意外伤害、重大疾病或重大变故使生活困难的学生发放的一次性经济补助。</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3</w:t>
      </w:r>
      <w:r>
        <w:rPr>
          <w:rFonts w:ascii="SimSun" w:eastAsia="SimSun" w:hAnsi="SimSun" w:cs="SimSun"/>
          <w:color w:val="666666"/>
        </w:rPr>
        <w:t>．社会团体捐助</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学校积极联系社会力量，拓展社会助学渠道，广泛吸纳社会善款用于学生资助工作；主动争取企事业单位、社会团体到学校设立奖助学金，进一步完善学校、社会相结合的资助网络建设，以帮助家庭经济困难学生顺利完成学业。</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4</w:t>
      </w:r>
      <w:r>
        <w:rPr>
          <w:rFonts w:ascii="SimSun" w:eastAsia="SimSun" w:hAnsi="SimSun" w:cs="SimSun"/>
          <w:color w:val="666666"/>
        </w:rPr>
        <w:t>．个人捐赠</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为完善资助体系，吸引、接受并鼓励校内外有爱心并有经济能力的人士，以及优秀校友对困难学生进行帮扶活动，与受助学生零距离接触，了解他们的真实所需，既能“授之以鱼”又能“授之以渔”，帮助学生走出困境，学业有成。</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5</w:t>
      </w:r>
      <w:r>
        <w:rPr>
          <w:rFonts w:ascii="SimSun" w:eastAsia="SimSun" w:hAnsi="SimSun" w:cs="SimSun"/>
          <w:color w:val="666666"/>
        </w:rPr>
        <w:t>．创业补助</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学校创业教育学院为有创业意识的贫困大学生提供免费创业园区，在学生成功注册商家后，由创业办统一补助创业学生启动资金。</w:t>
      </w:r>
    </w:p>
    <w:p>
      <w:pPr>
        <w:pBdr>
          <w:top w:val="none" w:sz="0" w:space="0" w:color="auto"/>
          <w:left w:val="none" w:sz="0" w:space="0" w:color="auto"/>
          <w:bottom w:val="none" w:sz="0" w:space="0" w:color="auto"/>
          <w:right w:val="none" w:sz="0" w:space="0" w:color="auto"/>
        </w:pBdr>
        <w:spacing w:before="150" w:after="15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333333"/>
        </w:rPr>
        <w:t>第九条</w:t>
      </w:r>
      <w:r>
        <w:rPr>
          <w:rFonts w:ascii="SimSun" w:eastAsia="SimSun" w:hAnsi="SimSun" w:cs="SimSun"/>
          <w:color w:val="333333"/>
        </w:rPr>
        <w:t>  </w:t>
      </w:r>
      <w:r>
        <w:rPr>
          <w:rFonts w:ascii="SimSun" w:eastAsia="SimSun" w:hAnsi="SimSun" w:cs="SimSun"/>
          <w:color w:val="333333"/>
        </w:rPr>
        <w:t>高校家庭经济困难学生资助对象及相关程序</w:t>
      </w:r>
    </w:p>
    <w:p>
      <w:pPr>
        <w:pBdr>
          <w:top w:val="none" w:sz="0" w:space="0" w:color="auto"/>
          <w:left w:val="none" w:sz="0" w:space="0" w:color="auto"/>
          <w:bottom w:val="none" w:sz="0" w:space="0" w:color="auto"/>
          <w:right w:val="none" w:sz="0" w:space="0" w:color="auto"/>
        </w:pBdr>
        <w:spacing w:before="150" w:after="150" w:line="420" w:lineRule="atLeast"/>
        <w:ind w:left="0" w:right="0" w:firstLine="480"/>
        <w:jc w:val="both"/>
        <w:rPr>
          <w:rFonts w:ascii="Microsoft YaHei" w:eastAsia="Microsoft YaHei" w:hAnsi="Microsoft YaHei" w:cs="Microsoft YaHei"/>
          <w:color w:val="666666"/>
          <w:sz w:val="21"/>
          <w:szCs w:val="21"/>
        </w:rPr>
      </w:pPr>
      <w:r>
        <w:rPr>
          <w:rFonts w:ascii="SimSun" w:eastAsia="SimSun" w:hAnsi="SimSun" w:cs="SimSun"/>
          <w:color w:val="666666"/>
        </w:rPr>
        <w:t>家庭经济困难学生是指学生本人及其家庭所能筹集到的资金，不足以支付其在校学习期间学习和生活基本费用的学生。学生需向学校申报家庭经济困难情况，由学校根据有关部门设置的标准和规定的程序，以民主评议方式进行认定。有关高校家庭经济困难学生资助政策具体内容详见《高等学校学生资助政策简介》，此《简介》每年统一由全国学生资助管理中心印制，并随录取通知书邮寄至每名新生手中。</w:t>
      </w:r>
    </w:p>
    <w:p>
      <w:pPr>
        <w:pBdr>
          <w:top w:val="none" w:sz="0" w:space="0" w:color="auto"/>
          <w:left w:val="none" w:sz="0" w:space="0" w:color="auto"/>
          <w:bottom w:val="none" w:sz="0" w:space="0" w:color="auto"/>
          <w:right w:val="none" w:sz="0" w:space="0" w:color="auto"/>
        </w:pBdr>
        <w:spacing w:before="315" w:after="315" w:line="420" w:lineRule="atLeast"/>
        <w:ind w:left="0" w:right="0" w:firstLine="480"/>
        <w:jc w:val="center"/>
        <w:rPr>
          <w:rFonts w:ascii="Microsoft YaHei" w:eastAsia="Microsoft YaHei" w:hAnsi="Microsoft YaHei" w:cs="Microsoft YaHei"/>
          <w:color w:val="666666"/>
          <w:sz w:val="21"/>
          <w:szCs w:val="21"/>
        </w:rPr>
      </w:pPr>
      <w:r>
        <w:rPr>
          <w:rFonts w:ascii="SimHei" w:eastAsia="SimHei" w:hAnsi="SimHei" w:cs="SimHei"/>
          <w:color w:val="666666"/>
        </w:rPr>
        <w:t>第五章</w:t>
      </w:r>
      <w:r>
        <w:rPr>
          <w:rFonts w:ascii="SimSun" w:eastAsia="SimSun" w:hAnsi="SimSun" w:cs="SimSun"/>
          <w:color w:val="666666"/>
        </w:rPr>
        <w:t> </w:t>
      </w:r>
      <w:r>
        <w:rPr>
          <w:rFonts w:ascii="SimHei" w:eastAsia="SimHei" w:hAnsi="SimHei" w:cs="SimHei"/>
          <w:color w:val="666666"/>
        </w:rPr>
        <w:t>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第十条</w:t>
      </w:r>
      <w:r>
        <w:rPr>
          <w:rFonts w:ascii="SimSun" w:eastAsia="SimSun" w:hAnsi="SimSun" w:cs="SimSun"/>
          <w:color w:val="666666"/>
        </w:rPr>
        <w:t>  专业培养对外语的要求</w:t>
      </w:r>
      <w:r>
        <w:rPr>
          <w:rFonts w:ascii="SimSun" w:eastAsia="SimSun" w:hAnsi="SimSun" w:cs="SimSun"/>
          <w:color w:val="666666"/>
        </w:rPr>
        <w:br/>
      </w:r>
      <w:r>
        <w:rPr>
          <w:rFonts w:ascii="SimSun" w:eastAsia="SimSun" w:hAnsi="SimSun" w:cs="SimSun"/>
          <w:color w:val="666666"/>
        </w:rPr>
        <w:t>    英语专业只招英语语种考生，其他专业外语语种不限。</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第十一条</w:t>
      </w:r>
      <w:r>
        <w:rPr>
          <w:rFonts w:ascii="SimSun" w:eastAsia="SimSun" w:hAnsi="SimSun" w:cs="SimSun"/>
          <w:color w:val="666666"/>
        </w:rPr>
        <w:t>  批准的招收男女生比例的要求</w:t>
      </w:r>
      <w:r>
        <w:rPr>
          <w:rFonts w:ascii="SimSun" w:eastAsia="SimSun" w:hAnsi="SimSun" w:cs="SimSun"/>
          <w:color w:val="666666"/>
        </w:rPr>
        <w:br/>
      </w:r>
      <w:r>
        <w:rPr>
          <w:rFonts w:ascii="SimSun" w:eastAsia="SimSun" w:hAnsi="SimSun" w:cs="SimSun"/>
          <w:color w:val="666666"/>
        </w:rPr>
        <w:t>    各专业男女不限。</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 第十二条</w:t>
      </w:r>
      <w:r>
        <w:rPr>
          <w:rFonts w:ascii="SimSun" w:eastAsia="SimSun" w:hAnsi="SimSun" w:cs="SimSun"/>
          <w:color w:val="666666"/>
        </w:rPr>
        <w:t>  经批准的身体及健康状况要求</w:t>
      </w:r>
      <w:r>
        <w:rPr>
          <w:rFonts w:ascii="SimSun" w:eastAsia="SimSun" w:hAnsi="SimSun" w:cs="SimSun"/>
          <w:color w:val="666666"/>
        </w:rPr>
        <w:br/>
      </w:r>
      <w:r>
        <w:rPr>
          <w:rFonts w:ascii="SimSun" w:eastAsia="SimSun" w:hAnsi="SimSun" w:cs="SimSun"/>
          <w:color w:val="666666"/>
        </w:rPr>
        <w:t>    2019年考生体检执行教育部、卫生部、中国残疾人联合会制订并下发的《普通高等学校招生体检工作指导意见》及相关补充规定。</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第十三条</w:t>
      </w:r>
      <w:r>
        <w:rPr>
          <w:rFonts w:ascii="SimSun" w:eastAsia="SimSun" w:hAnsi="SimSun" w:cs="SimSun"/>
          <w:color w:val="666666"/>
        </w:rPr>
        <w:t>  录取规则</w:t>
      </w:r>
      <w:r>
        <w:rPr>
          <w:rFonts w:ascii="SimSun" w:eastAsia="SimSun" w:hAnsi="SimSun" w:cs="SimSun"/>
          <w:color w:val="666666"/>
        </w:rPr>
        <w:br/>
      </w:r>
      <w:r>
        <w:rPr>
          <w:rFonts w:ascii="SimSun" w:eastAsia="SimSun" w:hAnsi="SimSun" w:cs="SimSun"/>
          <w:color w:val="666666"/>
        </w:rPr>
        <w:t>    1.调档比例。学校按各省级招生考试机构提供的投档成绩（含省级招生考试机构确认的全国性高考加分项目）提档。按顺序志愿投档的批次，我校调阅考生档案的比例原则上控制在120%以内。按平行志愿投档的批次，调档比例原则上控制在105%以内。录取时，视各省（市、区）生源质量等情况可对招生计划进行适当调整。</w:t>
      </w:r>
      <w:r>
        <w:rPr>
          <w:rFonts w:ascii="SimSun" w:eastAsia="SimSun" w:hAnsi="SimSun" w:cs="SimSun"/>
          <w:color w:val="666666"/>
        </w:rPr>
        <w:br/>
      </w:r>
      <w:r>
        <w:rPr>
          <w:rFonts w:ascii="SimSun" w:eastAsia="SimSun" w:hAnsi="SimSun" w:cs="SimSun"/>
          <w:color w:val="666666"/>
        </w:rPr>
        <w:t>    2.对于实行顺序志愿的省（市、区），优先录取第一志愿的考生，当第一志愿上线人数超出学校在当地的招生计划数时，不招收第二志愿考生；当第一志愿上线人数不足学校在当地的招生计划数时，可以接收第二志愿及其他志愿考生。</w:t>
      </w:r>
      <w:r>
        <w:rPr>
          <w:rFonts w:ascii="SimSun" w:eastAsia="SimSun" w:hAnsi="SimSun" w:cs="SimSun"/>
          <w:color w:val="666666"/>
        </w:rPr>
        <w:br/>
      </w:r>
      <w:r>
        <w:rPr>
          <w:rFonts w:ascii="SimSun" w:eastAsia="SimSun" w:hAnsi="SimSun" w:cs="SimSun"/>
          <w:color w:val="666666"/>
        </w:rPr>
        <w:t>    3.照顾加分项。 对享受政策性加分或者降分投档的考生，按所在省（市、区）招生考试机构的规定投档，在专业录取时按投档分数进行排序，优先录取分数高的考生。</w:t>
      </w:r>
      <w:r>
        <w:rPr>
          <w:rFonts w:ascii="SimSun" w:eastAsia="SimSun" w:hAnsi="SimSun" w:cs="SimSun"/>
          <w:color w:val="666666"/>
        </w:rPr>
        <w:br/>
      </w:r>
      <w:r>
        <w:rPr>
          <w:rFonts w:ascii="SimSun" w:eastAsia="SimSun" w:hAnsi="SimSun" w:cs="SimSun"/>
          <w:color w:val="666666"/>
        </w:rPr>
        <w:t>    4.专业录取: 进档考生，均满足考生第一专业志愿，按照考生的投档分数从高分到低分择优录取。如有特殊要求的省份，按该省录取原则进行专业录取，无专业分数级差要求，如考生所报专业志愿未能录取时，服从专业调剂者，将其调剂录取到未满额专业中，不服从专业调剂者，作退档处理。优先级别，考生投档分数相同时，则按单科顺序及分数从高到低排序。文科类以语文、外语、文综、数学为顺序，科目成绩高者优先录取；理科类以数学、外语、理综、语文为顺序，科目成绩高者优先录取。浙江省、上海市等高考改革省份按新高考录取政策执行。</w:t>
      </w:r>
      <w:r>
        <w:rPr>
          <w:rFonts w:ascii="SimSun" w:eastAsia="SimSun" w:hAnsi="SimSun" w:cs="SimSun"/>
          <w:color w:val="666666"/>
        </w:rPr>
        <w:br/>
      </w:r>
      <w:r>
        <w:rPr>
          <w:rFonts w:ascii="SimSun" w:eastAsia="SimSun" w:hAnsi="SimSun" w:cs="SimSun"/>
          <w:color w:val="666666"/>
        </w:rPr>
        <w:t>    5.艺术类考生需要参加本省统一组织的艺术类联考，联考成绩合格的考生按文化课成绩由高到低择优录取（或执行生源所在省份对艺术类录取的相关规定）。吉林省美术学类与设计学类按综合分录取，计算办法为：综合分=专业课成绩100%+文化课成绩60%。    </w:t>
      </w:r>
      <w:r>
        <w:rPr>
          <w:rFonts w:ascii="SimSun" w:eastAsia="SimSun" w:hAnsi="SimSun" w:cs="SimSun"/>
          <w:color w:val="666666"/>
        </w:rPr>
        <w:br/>
      </w:r>
      <w:r>
        <w:rPr>
          <w:rFonts w:ascii="SimSun" w:eastAsia="SimSun" w:hAnsi="SimSun" w:cs="SimSun"/>
          <w:color w:val="666666"/>
        </w:rPr>
        <w:t>    6.报考空中乘务、高速铁路客运乘务专业要求：身体健康、体形匀称、五官端正、相貌端庄,入学时需要面试。</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第十四条</w:t>
      </w:r>
      <w:r>
        <w:rPr>
          <w:rFonts w:ascii="SimSun" w:eastAsia="SimSun" w:hAnsi="SimSun" w:cs="SimSun"/>
          <w:color w:val="666666"/>
        </w:rPr>
        <w:t>  联系方式</w:t>
      </w:r>
      <w:r>
        <w:rPr>
          <w:rFonts w:ascii="SimSun" w:eastAsia="SimSun" w:hAnsi="SimSun" w:cs="SimSun"/>
          <w:color w:val="666666"/>
        </w:rPr>
        <w:br/>
      </w:r>
      <w:r>
        <w:rPr>
          <w:rFonts w:ascii="SimSun" w:eastAsia="SimSun" w:hAnsi="SimSun" w:cs="SimSun"/>
          <w:color w:val="666666"/>
        </w:rPr>
        <w:t>    学校网址：www.cstu.edu.cn</w:t>
      </w:r>
      <w:r>
        <w:rPr>
          <w:rFonts w:ascii="SimSun" w:eastAsia="SimSun" w:hAnsi="SimSun" w:cs="SimSun"/>
          <w:color w:val="666666"/>
        </w:rPr>
        <w:br/>
      </w:r>
      <w:r>
        <w:rPr>
          <w:rFonts w:ascii="SimSun" w:eastAsia="SimSun" w:hAnsi="SimSun" w:cs="SimSun"/>
          <w:color w:val="666666"/>
        </w:rPr>
        <w:t>    通讯地址：吉林省长春市双阳区东华大街1699号</w:t>
      </w:r>
      <w:r>
        <w:rPr>
          <w:rFonts w:ascii="SimSun" w:eastAsia="SimSun" w:hAnsi="SimSun" w:cs="SimSun"/>
          <w:color w:val="666666"/>
        </w:rPr>
        <w:br/>
      </w:r>
      <w:r>
        <w:rPr>
          <w:rFonts w:ascii="SimSun" w:eastAsia="SimSun" w:hAnsi="SimSun" w:cs="SimSun"/>
          <w:color w:val="666666"/>
        </w:rPr>
        <w:t>    联系电话：0431-8426 6666   8425 0800</w:t>
      </w:r>
      <w:r>
        <w:rPr>
          <w:rFonts w:ascii="SimSun" w:eastAsia="SimSun" w:hAnsi="SimSun" w:cs="SimSun"/>
          <w:color w:val="666666"/>
        </w:rPr>
        <w:br/>
      </w:r>
      <w:r>
        <w:rPr>
          <w:rFonts w:ascii="SimSun" w:eastAsia="SimSun" w:hAnsi="SimSun" w:cs="SimSun"/>
          <w:color w:val="666666"/>
        </w:rPr>
        <w:t>    联系人：于主任 刘老师</w:t>
      </w:r>
      <w:r>
        <w:rPr>
          <w:rFonts w:ascii="SimSun" w:eastAsia="SimSun" w:hAnsi="SimSun" w:cs="SimSun"/>
          <w:color w:val="666666"/>
        </w:rPr>
        <w:br/>
      </w:r>
      <w:r>
        <w:rPr>
          <w:rFonts w:ascii="SimSun" w:eastAsia="SimSun" w:hAnsi="SimSun" w:cs="SimSun"/>
          <w:color w:val="666666"/>
        </w:rPr>
        <w:t>    </w:t>
      </w:r>
      <w:r>
        <w:rPr>
          <w:rFonts w:ascii="SimSun" w:eastAsia="SimSun" w:hAnsi="SimSun" w:cs="SimSun"/>
          <w:b/>
          <w:bCs/>
          <w:color w:val="666666"/>
        </w:rPr>
        <w:t>第十五条</w:t>
      </w:r>
      <w:r>
        <w:rPr>
          <w:rFonts w:ascii="SimSun" w:eastAsia="SimSun" w:hAnsi="SimSun" w:cs="SimSun"/>
          <w:color w:val="666666"/>
        </w:rPr>
        <w:t>  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吉林师范大学博达学院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吉林建筑科技学院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65.html" TargetMode="External" /><Relationship Id="rId5" Type="http://schemas.openxmlformats.org/officeDocument/2006/relationships/hyperlink" Target="http://www.gk114.com/a/gxzs/zszc/jilin/2019/0627/10267.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