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长春科技学院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w:t>
      </w:r>
      <w:r>
        <w:rPr>
          <w:rFonts w:ascii="Microsoft YaHei" w:eastAsia="Microsoft YaHei" w:hAnsi="Microsoft YaHei" w:cs="Microsoft YaHei"/>
          <w:color w:val="666666"/>
          <w:sz w:val="21"/>
          <w:szCs w:val="21"/>
        </w:rPr>
        <w:t>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为规范我校今年招生工作，依据《中华人民共和国教育法》《中华人民共和国高等教育法》等法律法规以及教育部有关规定，特制定本章程。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本章程适用于我校今年普通高等教育的本科、专科层次招生工作。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学校全称：长春科技学院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东华大街校区地址：</w:t>
      </w:r>
      <w:r>
        <w:rPr>
          <w:rFonts w:ascii="Microsoft YaHei" w:eastAsia="Microsoft YaHei" w:hAnsi="Microsoft YaHei" w:cs="Microsoft YaHei"/>
          <w:color w:val="666666"/>
          <w:sz w:val="21"/>
          <w:szCs w:val="21"/>
        </w:rPr>
        <w:t>吉林省长春市双阳区</w:t>
      </w:r>
      <w:r>
        <w:rPr>
          <w:rFonts w:ascii="Microsoft YaHei" w:eastAsia="Microsoft YaHei" w:hAnsi="Microsoft YaHei" w:cs="Microsoft YaHei"/>
          <w:color w:val="666666"/>
          <w:sz w:val="21"/>
          <w:szCs w:val="21"/>
        </w:rPr>
        <w:t>云山街道北山社区</w:t>
      </w:r>
      <w:r>
        <w:rPr>
          <w:rFonts w:ascii="Microsoft YaHei" w:eastAsia="Microsoft YaHei" w:hAnsi="Microsoft YaHei" w:cs="Microsoft YaHei"/>
          <w:color w:val="666666"/>
          <w:sz w:val="21"/>
          <w:szCs w:val="21"/>
        </w:rPr>
        <w:t>东华大街</w:t>
      </w:r>
      <w:r>
        <w:rPr>
          <w:rFonts w:ascii="Microsoft YaHei" w:eastAsia="Microsoft YaHei" w:hAnsi="Microsoft YaHei" w:cs="Microsoft YaHei"/>
          <w:color w:val="666666"/>
          <w:sz w:val="21"/>
          <w:szCs w:val="21"/>
        </w:rPr>
        <w:t>1699号。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双阳湖校区地址：吉林省长春市双阳区平湖街道甩湾村委会。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龙井校区地址：吉林省延边朝鲜族自治州龙井市智新镇龙池村委会学府路</w:t>
      </w:r>
      <w:r>
        <w:rPr>
          <w:rFonts w:ascii="Microsoft YaHei" w:eastAsia="Microsoft YaHei" w:hAnsi="Microsoft YaHei" w:cs="Microsoft YaHei"/>
          <w:color w:val="666666"/>
          <w:sz w:val="21"/>
          <w:szCs w:val="21"/>
        </w:rPr>
        <w:t>756号。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w:t>
      </w:r>
      <w:r>
        <w:rPr>
          <w:rFonts w:ascii="Microsoft YaHei" w:eastAsia="Microsoft YaHei" w:hAnsi="Microsoft YaHei" w:cs="Microsoft YaHei"/>
          <w:color w:val="666666"/>
          <w:sz w:val="21"/>
          <w:szCs w:val="21"/>
        </w:rPr>
        <w:t>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食品质量与安全专业学费标准为每生每学年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园林专业学费标准为每生每学年</w:t>
      </w:r>
      <w:r>
        <w:rPr>
          <w:rFonts w:ascii="Microsoft YaHei" w:eastAsia="Microsoft YaHei" w:hAnsi="Microsoft YaHei" w:cs="Microsoft YaHei"/>
          <w:color w:val="666666"/>
          <w:sz w:val="21"/>
          <w:szCs w:val="21"/>
        </w:rPr>
        <w:t>25000元；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动物科学专业学费标准为每生每学年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应用化学专业学费标准为每生每学年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农林经济管理专业学费标准为每生每学年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汉语国际教育专业学费标准为每生每学年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园艺专业学费标准为每生每学年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职业卫生工程</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人力资源管理专业学费标准为每生每学年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资产评估专业学费标准为每生每学年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应急管理</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土木工程专业学费标准为每生每学年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道路桥梁与渡河工程专业学费标准为每生每学年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城市水系统工程</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智慧建筑与建造</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机械设计制造及其自动化专业学费标准为每生每学年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保险学专业学费标准为每生每学年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网络工程专业学费标准为每生每学年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轨道交通信号与控制专业学费标准为每生每学年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动物医学专业学费标准为每生每学年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朝鲜语专业学费标准为每生每学年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中医学专业学费标准为每生每学年</w:t>
      </w:r>
      <w:r>
        <w:rPr>
          <w:rFonts w:ascii="Microsoft YaHei" w:eastAsia="Microsoft YaHei" w:hAnsi="Microsoft YaHei" w:cs="Microsoft YaHei"/>
          <w:color w:val="666666"/>
          <w:sz w:val="21"/>
          <w:szCs w:val="21"/>
        </w:rPr>
        <w:t>36000元；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眼视光学专业学费标准为每生每学年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w:t>
      </w:r>
      <w:r>
        <w:rPr>
          <w:rFonts w:ascii="Microsoft YaHei" w:eastAsia="Microsoft YaHei" w:hAnsi="Microsoft YaHei" w:cs="Microsoft YaHei"/>
          <w:color w:val="666666"/>
          <w:sz w:val="21"/>
          <w:szCs w:val="21"/>
        </w:rPr>
        <w:t>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产品设计专业学费标准为每生每学年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航空服务艺术与管理</w:t>
      </w:r>
      <w:r>
        <w:rPr>
          <w:rFonts w:ascii="Microsoft YaHei" w:eastAsia="Microsoft YaHei" w:hAnsi="Microsoft YaHei" w:cs="Microsoft YaHei"/>
          <w:color w:val="666666"/>
          <w:sz w:val="21"/>
          <w:szCs w:val="21"/>
        </w:rPr>
        <w:t>专</w:t>
      </w:r>
      <w:r>
        <w:rPr>
          <w:rFonts w:ascii="Microsoft YaHei" w:eastAsia="Microsoft YaHei" w:hAnsi="Microsoft YaHei" w:cs="Microsoft YaHei"/>
          <w:color w:val="666666"/>
          <w:sz w:val="21"/>
          <w:szCs w:val="21"/>
        </w:rPr>
        <w:t>业学费标准为每生每学年</w:t>
      </w:r>
      <w:r>
        <w:rPr>
          <w:rFonts w:ascii="Microsoft YaHei" w:eastAsia="Microsoft YaHei" w:hAnsi="Microsoft YaHei" w:cs="Microsoft YaHei"/>
          <w:color w:val="666666"/>
          <w:sz w:val="21"/>
          <w:szCs w:val="21"/>
        </w:rPr>
        <w:t>32000元；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w:t>
      </w:r>
      <w:r>
        <w:rPr>
          <w:rFonts w:ascii="Microsoft YaHei" w:eastAsia="Microsoft YaHei" w:hAnsi="Microsoft YaHei" w:cs="Microsoft YaHei"/>
          <w:color w:val="666666"/>
          <w:sz w:val="21"/>
          <w:szCs w:val="21"/>
        </w:rPr>
        <w:t>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美术学专业学费标准为每生每学年</w:t>
      </w:r>
      <w:r>
        <w:rPr>
          <w:rFonts w:ascii="Microsoft YaHei" w:eastAsia="Microsoft YaHei" w:hAnsi="Microsoft YaHei" w:cs="Microsoft YaHei"/>
          <w:color w:val="666666"/>
          <w:sz w:val="21"/>
          <w:szCs w:val="21"/>
        </w:rPr>
        <w:t>26000元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汽车制造与试验技术专业学费标准为每生每学年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无人机应用技术专业学费标准为每生每学年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药品生产技术专业学费标准为每生每学年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城市轨道交通运营管理专业学费标准为每生每学年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高速铁路客运服务专业学费标准为每生每学年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应急救援技术专业学费标准为每生每学年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植物保护与检疫技术专业学费标准为每生每学年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学前教育专业学费标准为每生每学年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空中乘务专业学费标准为每生每学年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建筑工程技术专业学费标准为每生每学年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工程造价专业学费标准为每生每学年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生物信息技术专业学费标准为每生每学年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药学</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大数据与财务管理专业学费标准为每生每学年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大数据与会计专业学费标准为每生每学年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金融服务与管理专业学费标准为每生每学年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工业机器人技术专业学费标准为每生每学年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机械制造及自动化专业学费标准为每生每学年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电气自动化技术专业学费标准为每生每学年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智能机器人技术专业学费标准为每生每学年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移动互联应用技术专业学费标准为每生每学年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大数据技术专业学费标准为每生每学年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人工智能技术应用专业学费标准为每生每学年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虚拟现实技术专业学费标准为每生每学年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动物医学专业学费标准为每生每学年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应用俄语专业学费标准为每生每学年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康复治疗技术专业学费标准为每生每学年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医学检验技术专业学费标准为每生每学年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中药学专业学费标准为每生每学年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口腔医学专业学费标准为每生每学年</w:t>
      </w:r>
      <w:r>
        <w:rPr>
          <w:rFonts w:ascii="Microsoft YaHei" w:eastAsia="Microsoft YaHei" w:hAnsi="Microsoft YaHei" w:cs="Microsoft YaHei"/>
          <w:color w:val="666666"/>
          <w:sz w:val="21"/>
          <w:szCs w:val="21"/>
        </w:rPr>
        <w:t>32000元；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眼视光技术专业学费标准为每生每学年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医学美容技术专业学费标准为每生每学年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中医康复技术专业学费标准为每生每学年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融媒体技术与运营专业学费标准为每生每学年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摄影与摄像艺术</w:t>
      </w:r>
      <w:r>
        <w:rPr>
          <w:rFonts w:ascii="Microsoft YaHei" w:eastAsia="Microsoft YaHei" w:hAnsi="Microsoft YaHei" w:cs="Microsoft YaHei"/>
          <w:color w:val="666666"/>
          <w:sz w:val="21"/>
          <w:szCs w:val="21"/>
        </w:rPr>
        <w:t>专业学费标准为每生每学年</w:t>
      </w:r>
      <w:r>
        <w:rPr>
          <w:rFonts w:ascii="Microsoft YaHei" w:eastAsia="Microsoft YaHei" w:hAnsi="Microsoft YaHei" w:cs="Microsoft YaHei"/>
          <w:color w:val="666666"/>
          <w:sz w:val="21"/>
          <w:szCs w:val="21"/>
        </w:rPr>
        <w:t>16000元；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广告艺术设计专业学费标准为每生每学年</w:t>
      </w:r>
      <w:r>
        <w:rPr>
          <w:rFonts w:ascii="Microsoft YaHei" w:eastAsia="Microsoft YaHei" w:hAnsi="Microsoft YaHei" w:cs="Microsoft YaHei"/>
          <w:color w:val="666666"/>
          <w:sz w:val="21"/>
          <w:szCs w:val="21"/>
        </w:rPr>
        <w:t>16000元</w:t>
      </w:r>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w:t>
      </w:r>
      <w:r>
        <w:rPr>
          <w:rFonts w:ascii="Microsoft YaHei" w:eastAsia="Microsoft YaHei" w:hAnsi="Microsoft YaHei" w:cs="Microsoft YaHei"/>
          <w:color w:val="666666"/>
          <w:sz w:val="21"/>
          <w:szCs w:val="21"/>
        </w:rPr>
        <w:t>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学生完成培养方案要求的教学内容，成绩合格，符合毕业条件，本科毕业生由长春科技学院颁发国家规定的本科毕业证书。高职毕业生由长春科技学院颁发国家规定的专科(高职)毕业证书。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w:t>
      </w:r>
      <w:r>
        <w:rPr>
          <w:rFonts w:ascii="Microsoft YaHei" w:eastAsia="Microsoft YaHei" w:hAnsi="Microsoft YaHei" w:cs="Microsoft YaHei"/>
          <w:color w:val="666666"/>
          <w:sz w:val="21"/>
          <w:szCs w:val="21"/>
        </w:rPr>
        <w:t>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高校学生资助政策体系包括国家奖学金、国家励志奖学金、国家助学金、国家助学贷款、服兵役高等学校学生国家教育资助、基层就业学费补偿贷款代偿、师范生公费教育、勤工助学和</w:t>
      </w:r>
      <w:r>
        <w:rPr>
          <w:rFonts w:ascii="Microsoft YaHei" w:eastAsia="Microsoft YaHei" w:hAnsi="Microsoft YaHei" w:cs="Microsoft YaHei"/>
          <w:color w:val="666666"/>
          <w:sz w:val="21"/>
          <w:szCs w:val="21"/>
        </w:rPr>
        <w:t>“绿色通道”等内容。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此外，我校学校资助具体还有以下几种资助形式：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奖学金主要是奖励品学兼优，全日制在校本专科二年级以上（含二年级）的学生。奖学金分为三个等级，一等奖学金按年级和专业人数分配名额，占学生总人数的2%，每人每年1000元；二、三等奖学金按班级人数分配名额，二等奖学金按班级学生总数的3%评定，每人每年500元；三等奖学金按班级学生总数的10%评定，每人每年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2.吉林省东鳌鹿业科技开发有限公司东鳌奖学金主要奖励品学兼优的学生和资助家庭经济困难的学生。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学生困难补助是学校对学生或学生家庭遭受重大意外伤害、重大疾病或重大变故使生活困难的学生发放的一次性经济补助。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（三）社会团体捐助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积极联系社会力量，拓展社会助学渠道，广泛吸纳社会善款用于学生资助工作；主动争取企事业单位、社会团体到学校设立奖助学金，进一步完善学校、社会相结合的资助网络建设，以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（四）个人捐赠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为完善资助体系，吸引、接受并鼓励校内外有爱心并有经济能力的人士，以及优秀校友对困难学生进行帮扶活动，与受助学生零距离接触，了解他们的真实所需，既能</w:t>
      </w:r>
      <w:r>
        <w:rPr>
          <w:rFonts w:ascii="Microsoft YaHei" w:eastAsia="Microsoft YaHei" w:hAnsi="Microsoft YaHei" w:cs="Microsoft YaHei"/>
          <w:color w:val="666666"/>
          <w:sz w:val="21"/>
          <w:szCs w:val="21"/>
        </w:rPr>
        <w:t>“授之以鱼”又能“授之以渔”，帮助学生走出困境，学业有成。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（五）创业补助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重视大学生创新创业能力培养，为有创业意愿的学生提供补贴式创业启动资金，并提供一系列补助政策，如在我校大学生创业园区提供免费的经营场所及基础设施、免费创业培训等。学生在我校创业享受国家相关补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w:t>
      </w:r>
      <w:r>
        <w:rPr>
          <w:rFonts w:ascii="Microsoft YaHei" w:eastAsia="Microsoft YaHei" w:hAnsi="Microsoft YaHei" w:cs="Microsoft YaHei"/>
          <w:color w:val="666666"/>
          <w:sz w:val="21"/>
          <w:szCs w:val="21"/>
        </w:rPr>
        <w:t>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w:t>
      </w:r>
      <w:r>
        <w:rPr>
          <w:rFonts w:ascii="Microsoft YaHei" w:eastAsia="Microsoft YaHei" w:hAnsi="Microsoft YaHei" w:cs="Microsoft YaHei"/>
          <w:color w:val="666666"/>
          <w:sz w:val="21"/>
          <w:szCs w:val="21"/>
        </w:rPr>
        <w:t>(市、区)的学生资助管理机构申请办理生源地信用助学贷款。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w:t>
      </w:r>
      <w:r>
        <w:rPr>
          <w:rFonts w:ascii="Microsoft YaHei" w:eastAsia="Microsoft YaHei" w:hAnsi="Microsoft YaHei" w:cs="Microsoft YaHei"/>
          <w:color w:val="666666"/>
          <w:sz w:val="21"/>
          <w:szCs w:val="21"/>
        </w:rPr>
        <w:t>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英语专业只招英语语种考生，其他专业外语语种不限。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各专业男女不限。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w:t>
      </w: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年考生体检执行教育部、国家卫生健康委员会、中国残疾人联合会制订并下发的《普通高等学校招生体检工作指导意见》及相关补充规定。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（一）调档比例。学校按各省级招生考试机构提供的投档成绩（含省级招生考试机构确认的全国性高考加分项目）提档。按顺序志愿投档的批次，调档比例原则上控制在</w:t>
      </w:r>
      <w:r>
        <w:rPr>
          <w:rFonts w:ascii="Microsoft YaHei" w:eastAsia="Microsoft YaHei" w:hAnsi="Microsoft YaHei" w:cs="Microsoft YaHei"/>
          <w:color w:val="666666"/>
          <w:sz w:val="21"/>
          <w:szCs w:val="21"/>
        </w:rPr>
        <w:t>120%以内。按平行志愿投档的批次，调档比例原则上控制在105%以内。录取时，视各省（市、区）生源质量等情况可对招生计划进行适当调整。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对于实行顺序志愿的省（市、区），优先录取第一志愿的考生，当第一志愿上线人数超出学校在当地的招生计划数时，不招收第二志愿考生；当第一志愿上线人数不足学校在当地的招生计划数时，可以接收第二志愿及其他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（三）照顾加分项。对享受政策性加分或者降分投档的考生，按所在省（市、区）招生考试机构的规定投档。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专业录取：进档考生，均满足考生第一专业志愿，按照考生的投档分数从高分到低分录取。如有特殊要求的省份，按该省录取原则进行专业录取，无专业分数级差要求。优先级别，考生投档分数相同时，则按单科顺序及分数从高到低排序。文科类以语文、外语、文综、数学为顺序，科目成绩高者优先录取；理科类以数学、外语、理综、语文为顺序，科目成绩高者优先录取。北京市、天津市、重庆市、河北省、山东省、浙江省、海南省、辽宁省、江苏省、广东省、福建省、湖南省、湖北省等高考改革省份按新高考录取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类（除航空服务艺术与管理专业）考生需要参加本省统一组织的艺术类联考，联考成绩合格且文化课达到艺术类文化课合格线的考生按文化课成绩由高到低择优录取（或执行生源所在省份对艺术类录取的相关规定）。吉林省美术学类与设计学类按综合分录取，计算办法为：综合分</w:t>
      </w:r>
      <w:r>
        <w:rPr>
          <w:rFonts w:ascii="Microsoft YaHei" w:eastAsia="Microsoft YaHei" w:hAnsi="Microsoft YaHei" w:cs="Microsoft YaHei"/>
          <w:color w:val="666666"/>
          <w:sz w:val="21"/>
          <w:szCs w:val="21"/>
        </w:rPr>
        <w:t>=专业课成绩*100%+文化课成绩*60%。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航空服务艺术与管理专业：山东省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河北省</w:t>
      </w:r>
      <w:r>
        <w:rPr>
          <w:rFonts w:ascii="Microsoft YaHei" w:eastAsia="Microsoft YaHei" w:hAnsi="Microsoft YaHei" w:cs="Microsoft YaHei"/>
          <w:color w:val="666666"/>
          <w:sz w:val="21"/>
          <w:szCs w:val="21"/>
        </w:rPr>
        <w:t>考生承认山东省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河北省</w:t>
      </w:r>
      <w:r>
        <w:rPr>
          <w:rFonts w:ascii="Microsoft YaHei" w:eastAsia="Microsoft YaHei" w:hAnsi="Microsoft YaHei" w:cs="Microsoft YaHei"/>
          <w:color w:val="666666"/>
          <w:sz w:val="21"/>
          <w:szCs w:val="21"/>
        </w:rPr>
        <w:t>该专业联考合格成绩，文化课成绩达到艺术类文化课合格线，按山东省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河北省</w:t>
      </w:r>
      <w:r>
        <w:rPr>
          <w:rFonts w:ascii="Microsoft YaHei" w:eastAsia="Microsoft YaHei" w:hAnsi="Microsoft YaHei" w:cs="Microsoft YaHei"/>
          <w:color w:val="666666"/>
          <w:sz w:val="21"/>
          <w:szCs w:val="21"/>
        </w:rPr>
        <w:t>投档</w:t>
      </w:r>
      <w:r>
        <w:rPr>
          <w:rFonts w:ascii="Microsoft YaHei" w:eastAsia="Microsoft YaHei" w:hAnsi="Microsoft YaHei" w:cs="Microsoft YaHei"/>
          <w:color w:val="666666"/>
          <w:sz w:val="21"/>
          <w:szCs w:val="21"/>
        </w:rPr>
        <w:t>成绩</w:t>
      </w:r>
      <w:r>
        <w:rPr>
          <w:rFonts w:ascii="Microsoft YaHei" w:eastAsia="Microsoft YaHei" w:hAnsi="Microsoft YaHei" w:cs="Microsoft YaHei"/>
          <w:color w:val="666666"/>
          <w:sz w:val="21"/>
          <w:szCs w:val="21"/>
        </w:rPr>
        <w:t>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www.cstu.edu.cn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通讯地址：吉林省长春市双阳区东华大街</w:t>
      </w:r>
      <w:r>
        <w:rPr>
          <w:rFonts w:ascii="Microsoft YaHei" w:eastAsia="Microsoft YaHei" w:hAnsi="Microsoft YaHei" w:cs="Microsoft YaHei"/>
          <w:color w:val="666666"/>
          <w:sz w:val="21"/>
          <w:szCs w:val="21"/>
        </w:rPr>
        <w:t>1699号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0431-84266666、84250800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联系人：于老师</w:t>
      </w:r>
      <w:r>
        <w:rPr>
          <w:rFonts w:ascii="Microsoft YaHei" w:eastAsia="Microsoft YaHei" w:hAnsi="Microsoft YaHei" w:cs="Microsoft YaHei"/>
          <w:color w:val="666666"/>
          <w:sz w:val="21"/>
          <w:szCs w:val="21"/>
        </w:rPr>
        <w:t> 李老师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本章程未尽事宜，按照国家招生及生源地招生主管部门政策执行</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此章程由长春科技学院负责解释。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6.html" TargetMode="External" /><Relationship Id="rId11" Type="http://schemas.openxmlformats.org/officeDocument/2006/relationships/hyperlink" Target="http://www.gk114.com/a/gxzs/zszc/jilin/2022/0508/22375.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3.html" TargetMode="External" /><Relationship Id="rId14" Type="http://schemas.openxmlformats.org/officeDocument/2006/relationships/hyperlink" Target="http://www.gk114.com/a/gxzs/zszc/jilin/2022/0508/22372.html" TargetMode="External" /><Relationship Id="rId15" Type="http://schemas.openxmlformats.org/officeDocument/2006/relationships/hyperlink" Target="http://www.gk114.com/a/gxzs/zszc/jilin/2022/0508/22354.html" TargetMode="External" /><Relationship Id="rId16" Type="http://schemas.openxmlformats.org/officeDocument/2006/relationships/hyperlink" Target="http://www.gk114.com/a/gxzs/zszc/jilin/2021/0606/19769.html" TargetMode="External" /><Relationship Id="rId17" Type="http://schemas.openxmlformats.org/officeDocument/2006/relationships/hyperlink" Target="http://www.gk114.com/a/gxzs/zszc/jilin/2021/0518/19642.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79.html" TargetMode="External" /><Relationship Id="rId5" Type="http://schemas.openxmlformats.org/officeDocument/2006/relationships/hyperlink" Target="http://www.gk114.com/a/gxzs/zszc/jilin/2022/0508/2238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78.html" TargetMode="External" /><Relationship Id="rId9" Type="http://schemas.openxmlformats.org/officeDocument/2006/relationships/hyperlink" Target="http://www.gk114.com/a/gxzs/zszc/jilin/2022/0508/2237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