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闽南理工学院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为规范招生行为，切实维护考生合法权益，结合闽南理工学院招生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本章程适用于闽南理工学院</w:t>
      </w:r>
      <w:r>
        <w:rPr>
          <w:rFonts w:ascii="Times New Roman" w:eastAsia="Times New Roman" w:hAnsi="Times New Roman" w:cs="Times New Roman"/>
        </w:rPr>
        <w:t>2018</w:t>
      </w:r>
      <w:r>
        <w:rPr>
          <w:rFonts w:ascii="SimSun" w:eastAsia="SimSun" w:hAnsi="SimSun" w:cs="SimSun"/>
        </w:rPr>
        <w:t>年普通高校招生工作。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学校名称为闽南理工学院，国标代码：</w:t>
      </w:r>
      <w:r>
        <w:rPr>
          <w:rFonts w:ascii="Times New Roman" w:eastAsia="Times New Roman" w:hAnsi="Times New Roman" w:cs="Times New Roman"/>
        </w:rPr>
        <w:t>12710</w:t>
      </w:r>
      <w:r>
        <w:rPr>
          <w:rFonts w:ascii="SimSun" w:eastAsia="SimSun" w:hAnsi="SimSun" w:cs="SimSun"/>
        </w:rPr>
        <w:t>。学校创办于</w:t>
      </w:r>
      <w:r>
        <w:rPr>
          <w:rFonts w:ascii="Times New Roman" w:eastAsia="Times New Roman" w:hAnsi="Times New Roman" w:cs="Times New Roman"/>
        </w:rPr>
        <w:t>1998</w:t>
      </w:r>
      <w:r>
        <w:rPr>
          <w:rFonts w:ascii="SimSun" w:eastAsia="SimSun" w:hAnsi="SimSun" w:cs="SimSun"/>
        </w:rPr>
        <w:t>年，是经国家教育部批准的民办普通本科高等学校。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学校设有招生工作领导小组，全面负责学校的招生工作，制定招生政策、招生计划，研究决定有关招生工作重大事宜。领导小组成员由主管校领导和相关部门负责人组成。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学校招生工作领导小组下设招生办公室，为组织和实施招生工作的常设机构，负责招生日常工作。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纪检监察部门对招生工作实施全程监督。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学校分省分专业招生计划以各省级教育考试主管部门公布为准。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商务英语专业只招收英语语种考生，其它专业不限语种，但学生入学后仅以英语作为基础外语安排教学。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除本章程中的专业录取要求外，执行教育部、卫生部、中国残疾人联合会印发的《普通高等学校招生体检工作指导意见》（教学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文理本科录取办法，由学校根据各省（区、市）的出档规定和生源情况确定提档比例，采用专业志愿清的调配原则。在投档成绩相同的情况下，学校将根据专业及分数排序，综合考虑考生相关科目成绩及特长等因素，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艺、体类专业录取办法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美术类：在文化成绩、专业成绩均须达到艺术类本科最低录取控制线的基础上，按综合分从高到低择优录取，综合分相同时，按专业分、语文、综合、外语、数学的顺序确定考生位次进行排序。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（考生文考总分＋固定照顾分）</w:t>
      </w:r>
      <w:r>
        <w:rPr>
          <w:rFonts w:ascii="Times New Roman" w:eastAsia="Times New Roman" w:hAnsi="Times New Roman" w:cs="Times New Roman"/>
        </w:rPr>
        <w:t>×40%</w:t>
      </w:r>
      <w:r>
        <w:rPr>
          <w:rFonts w:ascii="SimSun" w:eastAsia="SimSun" w:hAnsi="SimSun" w:cs="SimSun"/>
        </w:rPr>
        <w:t>＋考生省级专业统考成绩</w:t>
      </w:r>
      <w:r>
        <w:rPr>
          <w:rFonts w:ascii="Times New Roman" w:eastAsia="Times New Roman" w:hAnsi="Times New Roman" w:cs="Times New Roman"/>
        </w:rPr>
        <w:t>×2.5×60%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体育类：在文化成绩、专业成绩均须达到体育类本科最低录取控制线的基础上，按综合分从高到低择优录取，综合分相同时，按专业分、语文、综合、外语、数学的顺序确定考生位次进行排序。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（考生文考总分＋固定照顾分）</w:t>
      </w:r>
      <w:r>
        <w:rPr>
          <w:rFonts w:ascii="Times New Roman" w:eastAsia="Times New Roman" w:hAnsi="Times New Roman" w:cs="Times New Roman"/>
        </w:rPr>
        <w:t>×30%</w:t>
      </w:r>
      <w:r>
        <w:rPr>
          <w:rFonts w:ascii="SimSun" w:eastAsia="SimSun" w:hAnsi="SimSun" w:cs="SimSun"/>
        </w:rPr>
        <w:t>＋考生体育成绩</w:t>
      </w:r>
      <w:r>
        <w:rPr>
          <w:rFonts w:ascii="Times New Roman" w:eastAsia="Times New Roman" w:hAnsi="Times New Roman" w:cs="Times New Roman"/>
        </w:rPr>
        <w:t>×7.5×70%</w:t>
      </w:r>
      <w:r>
        <w:rPr>
          <w:rFonts w:ascii="SimSun" w:eastAsia="SimSun" w:hAnsi="SimSun" w:cs="SimSun"/>
        </w:rPr>
        <w:t>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入学后学生原则上应在所录取专业学习，少数学生因特殊原因提出专业调整要求的，按照有关规定，经学校研究批准后方可允许转入相关专业学习。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闽南理工学院各专业收费标准如下</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测控技术与仪器、材料成型及控制工程各专业，每人每学年学费</w:t>
      </w:r>
      <w:r>
        <w:rPr>
          <w:rFonts w:ascii="Times New Roman" w:eastAsia="Times New Roman" w:hAnsi="Times New Roman" w:cs="Times New Roman"/>
        </w:rPr>
        <w:t xml:space="preserve"> 20000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机械设计制造及其自动化、光电信息科学与工程、机械电子工程、电子信息工程、电气工程及其自动化、通信工程、建筑电气与智能化、财务管理、资产评估、审计学、国际经济与贸易、经济学、人力资源管理、物流管理、金融工程、土木工程、工程管理、建筑环境与能源应用工程、工程造价、给排水科学与工程、信息与计算科学、信息管理与信息系统、数字媒体技术、电子商务、物联网工程、数据科学与大数据技术、阿拉伯语、商务英语、翻译、服装设计与工程、社会体育指导与管理、休闲体育各专业，每人每学年学费</w:t>
      </w:r>
      <w:r>
        <w:rPr>
          <w:rFonts w:ascii="Times New Roman" w:eastAsia="Times New Roman" w:hAnsi="Times New Roman" w:cs="Times New Roman"/>
        </w:rPr>
        <w:t xml:space="preserve"> 21000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产品设计、服装与服饰设计、视觉传达设计、环境设计、数字媒体艺术各专业，每人每学年学费</w:t>
      </w:r>
      <w:r>
        <w:rPr>
          <w:rFonts w:ascii="Times New Roman" w:eastAsia="Times New Roman" w:hAnsi="Times New Roman" w:cs="Times New Roman"/>
        </w:rPr>
        <w:t xml:space="preserve"> 23000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住宿费：</w:t>
      </w:r>
      <w:r>
        <w:rPr>
          <w:rFonts w:ascii="Times New Roman" w:eastAsia="Times New Roman" w:hAnsi="Times New Roman" w:cs="Times New Roman"/>
        </w:rPr>
        <w:t>1500-2200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按福建省物价局、福建省教育厅《关于我省民办本科高校学历教育收费管理有关问题的通知》（闽价费﹝</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46</w:t>
      </w:r>
      <w:r>
        <w:rPr>
          <w:rFonts w:ascii="SimSun" w:eastAsia="SimSun" w:hAnsi="SimSun" w:cs="SimSun"/>
        </w:rPr>
        <w:t>号）执行。退费办法按闽价费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41</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新生收到录取通知书后，必须按规定时间按时到学校</w:t>
      </w:r>
      <w:r>
        <w:rPr>
          <w:rFonts w:ascii="Times New Roman" w:eastAsia="Times New Roman" w:hAnsi="Times New Roman" w:cs="Times New Roman"/>
        </w:rPr>
        <w:t xml:space="preserve"> </w:t>
      </w:r>
      <w:r>
        <w:rPr>
          <w:rFonts w:ascii="SimSun" w:eastAsia="SimSun" w:hAnsi="SimSun" w:cs="SimSun"/>
        </w:rPr>
        <w:t>报到，并按《入学指南》要求办理相关手续。未能按时报到的，应事先以书面形式请假，未按规定请假的视为自动放弃入学资格。请假一般不超过两周。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我校设有优秀学生奖学金、国家奖学金；现行的资助形式主要有国家助学金、国家励志奖学金、生源地信用助学贷款、勤工助学等，帮助家庭经济困难学生顺利完成学业。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按教育部有关规定，符合条件的毕业生，将由闽南理工学院颁发普通高等学校毕业证书；符合学位授予条件的，由闽南理工学院授予相应的学士学位。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0595-83777777</w:t>
      </w:r>
      <w:r>
        <w:rPr>
          <w:rFonts w:ascii="SimSun" w:eastAsia="SimSun" w:hAnsi="SimSun" w:cs="SimSun"/>
        </w:rPr>
        <w:t>，</w:t>
      </w:r>
      <w:r>
        <w:rPr>
          <w:rFonts w:ascii="Times New Roman" w:eastAsia="Times New Roman" w:hAnsi="Times New Roman" w:cs="Times New Roman"/>
        </w:rPr>
        <w:t>83677777</w:t>
      </w:r>
      <w:r>
        <w:rPr>
          <w:rFonts w:ascii="SimSun" w:eastAsia="SimSun" w:hAnsi="SimSun" w:cs="SimSun"/>
        </w:rPr>
        <w:t>，</w:t>
      </w:r>
      <w:r>
        <w:rPr>
          <w:rFonts w:ascii="Times New Roman" w:eastAsia="Times New Roman" w:hAnsi="Times New Roman" w:cs="Times New Roman"/>
        </w:rPr>
        <w:t xml:space="preserve">86877777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0595-88911680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0595-88916333</w:t>
      </w:r>
      <w:r>
        <w:rPr>
          <w:rFonts w:ascii="SimSun" w:eastAsia="SimSun" w:hAnsi="SimSun" w:cs="SimSun"/>
        </w:rPr>
        <w:t>，</w:t>
      </w:r>
      <w:r>
        <w:rPr>
          <w:rFonts w:ascii="Times New Roman" w:eastAsia="Times New Roman" w:hAnsi="Times New Roman" w:cs="Times New Roman"/>
        </w:rPr>
        <w:t xml:space="preserve">88911791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http://www.mnust.edu.cn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mnlgzsb@163.com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学校地址：福建省泉州市石狮宝盖山风景区</w:t>
      </w:r>
      <w:r>
        <w:rPr>
          <w:rFonts w:ascii="Times New Roman" w:eastAsia="Times New Roman" w:hAnsi="Times New Roman" w:cs="Times New Roman"/>
        </w:rPr>
        <w:t xml:space="preserve">(362700)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闽南理工学院以往有关招生工作的要求、规定如与本章程相冲突，以本章程为准。本章程若与国家法律、法规、规章、规范和上级有关政策相抵触，以国家法律、法规、规章、规范和上级有关政策为准。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以上章程由闽南理工学院招生办公室负责解释。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闽南理工学院招生就业处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二〇一八年四月九日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福州英华职业学院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年高职高专招生章程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泉州华光职业学院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2.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50.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20.html" TargetMode="External" /><Relationship Id="rId5" Type="http://schemas.openxmlformats.org/officeDocument/2006/relationships/hyperlink" Target="http://www.gk114.com/a/gxzs/zszc/fujian/2019/0222/6722.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5.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