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阳泉师范高等专科学校</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为维护学校和考生合法权益，保证学校招生工作顺利进行，</w:t>
      </w:r>
      <w:r>
        <w:rPr>
          <w:rFonts w:ascii="Microsoft YaHei" w:eastAsia="Microsoft YaHei" w:hAnsi="Microsoft YaHei" w:cs="Microsoft YaHei"/>
          <w:color w:val="666666"/>
          <w:sz w:val="21"/>
          <w:szCs w:val="21"/>
        </w:rPr>
        <w:t>根据《中华人民共和国教育法》、《中华人民共和国高等教育法》</w:t>
      </w:r>
      <w:r>
        <w:rPr>
          <w:rFonts w:ascii="Microsoft YaHei" w:eastAsia="Microsoft YaHei" w:hAnsi="Microsoft YaHei" w:cs="Microsoft YaHei"/>
          <w:color w:val="666666"/>
          <w:sz w:val="21"/>
          <w:szCs w:val="21"/>
        </w:rPr>
        <w:t>和教育部、山西省教育厅、山西省招生考试管理中心有关政策和要求，</w:t>
      </w:r>
      <w:r>
        <w:rPr>
          <w:rFonts w:ascii="Microsoft YaHei" w:eastAsia="Microsoft YaHei" w:hAnsi="Microsoft YaHei" w:cs="Microsoft YaHei"/>
          <w:color w:val="666666"/>
          <w:sz w:val="21"/>
          <w:szCs w:val="21"/>
        </w:rPr>
        <w:t>结合学校招生工作实际，制定本章程。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为加强阳光工程制度化建设，规范各项招生工作，保证招生工作正常有序的进行，结合学校实际情况，特制定本章程。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w:t>
      </w:r>
      <w:r>
        <w:rPr>
          <w:rFonts w:ascii="Microsoft YaHei" w:eastAsia="Microsoft YaHei" w:hAnsi="Microsoft YaHei" w:cs="Microsoft YaHei"/>
          <w:color w:val="666666"/>
          <w:sz w:val="21"/>
          <w:szCs w:val="21"/>
        </w:rPr>
        <w:t>阳泉</w:t>
      </w:r>
      <w:r>
        <w:rPr>
          <w:rFonts w:ascii="Microsoft YaHei" w:eastAsia="Microsoft YaHei" w:hAnsi="Microsoft YaHei" w:cs="Microsoft YaHei"/>
          <w:color w:val="666666"/>
          <w:sz w:val="21"/>
          <w:szCs w:val="21"/>
        </w:rPr>
        <w:t>师范高等专科学校普通高考专科招生及对口升学招生工作。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阳泉</w:t>
      </w:r>
      <w:r>
        <w:rPr>
          <w:rFonts w:ascii="Microsoft YaHei" w:eastAsia="Microsoft YaHei" w:hAnsi="Microsoft YaHei" w:cs="Microsoft YaHei"/>
          <w:color w:val="666666"/>
          <w:sz w:val="21"/>
          <w:szCs w:val="21"/>
        </w:rPr>
        <w:t>师范高等专科学校招生工作接受纪检监察部门、新闻媒体、考生及家长以及社会各界的监督。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院校概况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1、学校全称：阳泉师范高等专科学校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2、办学类型：普通高等专科学校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5、学校代码：14271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6、颁发毕业证书的学校名称：阳泉师范高等专科学校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8、办学地点：山西省阳泉市平定县</w:t>
      </w:r>
      <w:r>
        <w:rPr>
          <w:rFonts w:ascii="Microsoft YaHei" w:eastAsia="Microsoft YaHei" w:hAnsi="Microsoft YaHei" w:cs="Microsoft YaHei"/>
          <w:color w:val="666666"/>
          <w:sz w:val="21"/>
          <w:szCs w:val="21"/>
        </w:rPr>
        <w:t>上城街</w:t>
      </w:r>
      <w:r>
        <w:rPr>
          <w:rFonts w:ascii="Microsoft YaHei" w:eastAsia="Microsoft YaHei" w:hAnsi="Microsoft YaHei" w:cs="Microsoft YaHei"/>
          <w:color w:val="666666"/>
          <w:sz w:val="21"/>
          <w:szCs w:val="21"/>
        </w:rPr>
        <w:t>59号</w:t>
      </w: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045200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招生计划制定原则：根据社会需求和学校现有的办学资源</w:t>
      </w:r>
      <w:r>
        <w:rPr>
          <w:rFonts w:ascii="Microsoft YaHei" w:eastAsia="Microsoft YaHei" w:hAnsi="Microsoft YaHei" w:cs="Microsoft YaHei"/>
          <w:color w:val="666666"/>
          <w:sz w:val="21"/>
          <w:szCs w:val="21"/>
        </w:rPr>
        <w:t>(专业布局、教学条件、师资等)，确定专业招生规模。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按照招生计划分配原则合理分配普通高考分专业、分省招生计划</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对口招生及五年一贯制转段计划按照上级文件规定执行。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学校招生计划通过各省级招生主管部门、学校招生简章和学校网站等形式向考生公布。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、录取原则及规则：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招生工作遵循：“公平竞争、公开选拔、公开程序，德智体全面考核、综合评价、择优录取”的原则。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招生录取工作在省招生委员会统一组织下进行，执行教育部规定的“学校负责、招办监督”的录取机制。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设立由校领导、纪检处、招就处等有关部门参加的招生领导小组，全面负责招生工作，并自觉接受纪检监察部门、新闻媒体、考生及家长以及社会各界的监督。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面向全国招收参加当年高考的学生，录取分数执行有关省、直辖市、自治区招生委员会确定的专科录取分数线。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艺术类专业录取规则：在文化课成绩达线后，根据专业成绩从高到低择优录取。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进档考生专业确定办法：采取分数优先的原则，按照成绩从高到低的顺序满足考生专业志愿。当考生所有专业志愿不能满足时，服从专业调剂的考生，将调剂到计划未满的专业；不服从调剂的考生将予以退档。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对口升学严格按照</w:t>
      </w:r>
      <w:r>
        <w:rPr>
          <w:rFonts w:ascii="Microsoft YaHei" w:eastAsia="Microsoft YaHei" w:hAnsi="Microsoft YaHei" w:cs="Microsoft YaHei"/>
          <w:color w:val="666666"/>
          <w:sz w:val="21"/>
          <w:szCs w:val="21"/>
        </w:rPr>
        <w:t>“山西省对口升学招生录取工作实施意见”的相关规定和省招生考试管理中心划定的专科最低录取控制线进行录取。艺术类专业录取时，文化课达到省招办规定的最低录取控制线，按考生志愿和专业测试成绩从高到低录取。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招生的初中起点五年一贯制学生五年均在校本部学习，前三年按照中等职业教育的管理办法进行管理，后二年纳入高等教育管理范畴。学校对完成前三年中专阶段学业成绩合格的学生，准予学籍注册并转入后二年高职阶段继续学习。学生在完成后二年高职阶段学业并成绩合格后，由阳泉师范高等专科学校颁发普通高等院校（专科）</w:t>
      </w:r>
      <w:r>
        <w:rPr>
          <w:rFonts w:ascii="Microsoft YaHei" w:eastAsia="Microsoft YaHei" w:hAnsi="Microsoft YaHei" w:cs="Microsoft YaHei"/>
          <w:color w:val="666666"/>
          <w:sz w:val="21"/>
          <w:szCs w:val="21"/>
        </w:rPr>
        <w:t>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在思想政治品德考核和身体健康状况检查合格、统考成绩达到同批录取控制分数线，且符合提档要求的情况下，按照平行志愿，依据考生高考分数高低和专业志愿的先后顺序进行录取。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我校各专业外语语种均为英语。艺术类考生参加由省考试中心统一组织的专业测试，文化课达线后，按专业成绩从高到低择优录取。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身体健康状况要求：按照教育部、卫生部、中国残疾人联合会印发的《普通高等学校招生体检工作指导意见》执行。学生入学后，学校按有关规定要统一体检和新生入学资格审查，对在高考报名体检时弄虚作假者按规定做出相应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学生毕业时考核成绩合格，颁发阳泉师范高等专科学校毕业证书。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录取通知书签发人的姓名及职务：陈永昶</w:t>
      </w:r>
      <w:r>
        <w:rPr>
          <w:rFonts w:ascii="Microsoft YaHei" w:eastAsia="Microsoft YaHei" w:hAnsi="Microsoft YaHei" w:cs="Microsoft YaHei"/>
          <w:color w:val="666666"/>
          <w:sz w:val="21"/>
          <w:szCs w:val="21"/>
        </w:rPr>
        <w:t>，职务：校长。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五、招生专业和收费标准：严格按照省物价部门批准的收费费标准执行。</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627"/>
        <w:gridCol w:w="4669"/>
        <w:gridCol w:w="1732"/>
        <w:gridCol w:w="3179"/>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   业</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收费标准（每生每年）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现代教育技术</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社区康复（儿童康复方向）</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非师范</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摄影与摄像艺术</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非师范</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摄影摄像技术</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非师范</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现代教育技术</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r>
        <w:tblPrEx>
          <w:tblW w:w="14327" w:type="dxa"/>
          <w:tblInd w:w="135" w:type="dxa"/>
          <w:tblCellMar>
            <w:top w:w="15" w:type="dxa"/>
            <w:left w:w="15" w:type="dxa"/>
            <w:bottom w:w="15" w:type="dxa"/>
            <w:right w:w="15" w:type="dxa"/>
          </w:tblCellMar>
        </w:tblPrEx>
        <w:tc>
          <w:tcPr>
            <w:tcW w:w="30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社区康复（儿童康复方向）</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对口招生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strike w:val="0"/>
          <w:color w:val="666666"/>
          <w:sz w:val="21"/>
          <w:szCs w:val="21"/>
          <w:u w:val="none"/>
        </w:rPr>
        <w:drawing>
          <wp:inline>
            <wp:extent cx="5762625"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62625" cy="19050"/>
                    </a:xfrm>
                    <a:prstGeom prst="rect">
                      <a:avLst/>
                    </a:prstGeom>
                  </pic:spPr>
                </pic:pic>
              </a:graphicData>
            </a:graphic>
          </wp:inline>
        </w:drawing>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、住宿条件及收费标准：严格按照省物价部门核定的收费标准执行。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6人间800元/人年，8人间400/人年，由学校统一安排。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、奖助措施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1、奖学金：设有国家奖学金(8000元/学年)，励志奖学金(5000元/学年)。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2、助学金：国家助学金特困生每年补助最高4000元。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3、勤工助学：学校给学生提供各种校内外的勤工助学机会，多渠道筹集资金，帮助贫困家庭学生学习。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、咨询、联系方式、联系人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0353—6160071，6166071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传真电话：</w:t>
      </w:r>
      <w:r>
        <w:rPr>
          <w:rFonts w:ascii="Microsoft YaHei" w:eastAsia="Microsoft YaHei" w:hAnsi="Microsoft YaHei" w:cs="Microsoft YaHei"/>
          <w:color w:val="666666"/>
          <w:sz w:val="21"/>
          <w:szCs w:val="21"/>
        </w:rPr>
        <w:t>0353—6160071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http://www.sxyqsz.cn         E-mail:pdsf_wxh@163.com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联系人：吴晓华</w:t>
      </w:r>
      <w:r>
        <w:rPr>
          <w:rFonts w:ascii="Microsoft YaHei" w:eastAsia="Microsoft YaHei" w:hAnsi="Microsoft YaHei" w:cs="Microsoft YaHei"/>
          <w:color w:val="666666"/>
          <w:sz w:val="21"/>
          <w:szCs w:val="21"/>
        </w:rPr>
        <w:t>  13935326830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阳泉师范高等专科学校</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日</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53.html" TargetMode="External" /><Relationship Id="rId13" Type="http://schemas.openxmlformats.org/officeDocument/2006/relationships/hyperlink" Target="http://www.gk114.com/a/gxzs/zszc/shanxi/2020/0703/17343.html" TargetMode="External" /><Relationship Id="rId14" Type="http://schemas.openxmlformats.org/officeDocument/2006/relationships/hyperlink" Target="http://www.gk114.com/a/gxzs/zszc/shanxi/2020/0703/17335.html" TargetMode="External" /><Relationship Id="rId15" Type="http://schemas.openxmlformats.org/officeDocument/2006/relationships/hyperlink" Target="http://www.gk114.com/a/gxzs/zszc/shanxi/2020/0703/17316.html" TargetMode="External" /><Relationship Id="rId16" Type="http://schemas.openxmlformats.org/officeDocument/2006/relationships/hyperlink" Target="http://www.gk114.com/a/gxzs/zszc/shanxi/2020/0703/17310.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xi/2020/0703/17368.html" TargetMode="External" /><Relationship Id="rId6" Type="http://schemas.openxmlformats.org/officeDocument/2006/relationships/hyperlink" Target="http://www.gk114.com/a/gxzs/zszc/shanxi/2020/0703/17370.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