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集美大学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为规范集美大学招生工作，维护考生合法权益，根据《中华人民共和国教育法》、《中华人民共和国高等教育法》和教育部有关规定，结合集美大学办学实际，特制定本章程。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学校全称集美大学（国标代码</w:t>
      </w:r>
      <w:r>
        <w:rPr>
          <w:rFonts w:ascii="Times New Roman" w:eastAsia="Times New Roman" w:hAnsi="Times New Roman" w:cs="Times New Roman"/>
        </w:rPr>
        <w:t>10390</w:t>
      </w:r>
      <w:r>
        <w:rPr>
          <w:rFonts w:ascii="SimSun" w:eastAsia="SimSun" w:hAnsi="SimSun" w:cs="SimSun"/>
        </w:rPr>
        <w:t>）。集美大学由著名爱国华侨领袖陈嘉庚先生于</w:t>
      </w:r>
      <w:r>
        <w:rPr>
          <w:rFonts w:ascii="Times New Roman" w:eastAsia="Times New Roman" w:hAnsi="Times New Roman" w:cs="Times New Roman"/>
        </w:rPr>
        <w:t>1918</w:t>
      </w:r>
      <w:r>
        <w:rPr>
          <w:rFonts w:ascii="SimSun" w:eastAsia="SimSun" w:hAnsi="SimSun" w:cs="SimSun"/>
        </w:rPr>
        <w:t>年创办，地处厦门经济特区，是福建省省属公办普通本科高等学校。集美大学具有学士、硕士、博士学位授予权，并设有博士后科研流动站。学校地址：福建省厦门市集美区银江路</w:t>
      </w:r>
      <w:r>
        <w:rPr>
          <w:rFonts w:ascii="Times New Roman" w:eastAsia="Times New Roman" w:hAnsi="Times New Roman" w:cs="Times New Roman"/>
        </w:rPr>
        <w:t>185</w:t>
      </w:r>
      <w:r>
        <w:rPr>
          <w:rFonts w:ascii="SimSun" w:eastAsia="SimSun" w:hAnsi="SimSun" w:cs="SimSun"/>
        </w:rPr>
        <w:t>号（邮政编码：</w:t>
      </w:r>
      <w:r>
        <w:rPr>
          <w:rFonts w:ascii="Times New Roman" w:eastAsia="Times New Roman" w:hAnsi="Times New Roman" w:cs="Times New Roman"/>
        </w:rPr>
        <w:t>361021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学校办学层次：本科，学制：四年。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学生可以分阶段完成学业，最长学习年限为</w:t>
      </w:r>
      <w:r>
        <w:rPr>
          <w:rFonts w:ascii="Times New Roman" w:eastAsia="Times New Roman" w:hAnsi="Times New Roman" w:cs="Times New Roman"/>
        </w:rPr>
        <w:t>8</w:t>
      </w:r>
      <w:r>
        <w:rPr>
          <w:rFonts w:ascii="SimSun" w:eastAsia="SimSun" w:hAnsi="SimSun" w:cs="SimSun"/>
        </w:rPr>
        <w:t>年（含休学、保留学籍），累计在校学习时间最长为</w:t>
      </w:r>
      <w:r>
        <w:rPr>
          <w:rFonts w:ascii="Times New Roman" w:eastAsia="Times New Roman" w:hAnsi="Times New Roman" w:cs="Times New Roman"/>
        </w:rPr>
        <w:t>6</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按教育部有关规定，达到毕业要求的毕业生，由集美大学颁发经教育部电子注册的普通高等学校毕业证书；符合学位授予规定的，由集美大学授予学士学位。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w:t>
      </w:r>
      <w:r>
        <w:rPr>
          <w:rFonts w:ascii="SimSun" w:eastAsia="SimSun" w:hAnsi="SimSun" w:cs="SimSun"/>
        </w:rPr>
        <w:t>集美大学成立招生工作领导小组，由校长担任组长，分管招生考试、教务和学生工作的校领导担任副组长，成员由以上校领导和有关部门负责人组成，负责制定招生政策，研究决定招生的重大事宜。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集美大学在招生工作领导小组的基础上，吸纳教师代表、学生代表和校友代表，成立集美大学招生委员会，充分发挥其在决策咨询、民主监督和管理方面的作用。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招生办公室作为集美大学招生的常设机构，在学校招生工作领导小组的领导下，贯彻执行国家招生政策和规定，具体负责学校招生工作的组织实施。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集美大学监察部门负责对学校招生工作进行监督。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集美大学在福建省教育厅核定的年度招生规模内，根据学校学科发展规划，结合学校办学条件、毕业生就业情况、各省经济发展的需要以及各省的生源情况，编制分省（自治区、直辖市）分专业招生计划。具体计划安排请查阅集美大学招生网（</w:t>
      </w:r>
      <w:r>
        <w:rPr>
          <w:rFonts w:ascii="Times New Roman" w:eastAsia="Times New Roman" w:hAnsi="Times New Roman" w:cs="Times New Roman"/>
        </w:rPr>
        <w:t>http://zsb.jmu.edu.cn</w:t>
      </w:r>
      <w:r>
        <w:rPr>
          <w:rFonts w:ascii="SimSun" w:eastAsia="SimSun" w:hAnsi="SimSun" w:cs="SimSun"/>
        </w:rPr>
        <w:t>）或各省级招生部门编印的考生志愿填报手册。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集美大学根据高水平运动员资格生人数按一定比例预留高水平运动员招生计划。录取期间，未完成的计划将根据各省的生源情况，坚持集体议事的原则，优先投放生源质量好的省份。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集美大学招生工作严格执行教育部及生源所在省（自治区、直辖市）制定的录取政策，依据公平竞争、公正选拔、公开透明的原则，德智体美全面考核、综合评价、择优录取。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调档比例按生源所在省（自治区、直辖市）的相关规定执行。按照顺序志愿投档的批次，调档比例原则上不超过招生计划的</w:t>
      </w:r>
      <w:r>
        <w:rPr>
          <w:rFonts w:ascii="Times New Roman" w:eastAsia="Times New Roman" w:hAnsi="Times New Roman" w:cs="Times New Roman"/>
        </w:rPr>
        <w:t>120%</w:t>
      </w:r>
      <w:r>
        <w:rPr>
          <w:rFonts w:ascii="SimSun" w:eastAsia="SimSun" w:hAnsi="SimSun" w:cs="SimSun"/>
        </w:rPr>
        <w:t>；按照平行志愿投档的批次，调档比例原则上不超过招生计划的</w:t>
      </w:r>
      <w:r>
        <w:rPr>
          <w:rFonts w:ascii="Times New Roman" w:eastAsia="Times New Roman" w:hAnsi="Times New Roman" w:cs="Times New Roman"/>
        </w:rPr>
        <w:t>105%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集美大学原则上只录取院校志愿中填报集美大学的考生（以</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方式投档的批次除外），当第一院校志愿生源少于计划数时，可录取参考院校志愿考生。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考生身体健康状况要求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一、集美大学对考生身体健康状况的要求，按照教育部、卫生部、中国残联印发的《普通高等学校招生体检工作指导意见》（教学</w:t>
      </w:r>
      <w:r>
        <w:rPr>
          <w:rFonts w:ascii="Times New Roman" w:eastAsia="Times New Roman" w:hAnsi="Times New Roman" w:cs="Times New Roman"/>
        </w:rPr>
        <w:t>[2003] 3</w:t>
      </w:r>
      <w:r>
        <w:rPr>
          <w:rFonts w:ascii="SimSun" w:eastAsia="SimSun" w:hAnsi="SimSun" w:cs="SimSun"/>
        </w:rPr>
        <w:t>号附件）等相关规定执行。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二、根据《中华人民共和国海事局关于印发</w:t>
      </w:r>
      <w:r>
        <w:rPr>
          <w:rFonts w:ascii="Times New Roman" w:eastAsia="Times New Roman" w:hAnsi="Times New Roman" w:cs="Times New Roman"/>
        </w:rPr>
        <w:t>&lt;</w:t>
      </w:r>
      <w:r>
        <w:rPr>
          <w:rFonts w:ascii="SimSun" w:eastAsia="SimSun" w:hAnsi="SimSun" w:cs="SimSun"/>
        </w:rPr>
        <w:t>海船船员健康检查要求</w:t>
      </w:r>
      <w:r>
        <w:rPr>
          <w:rFonts w:ascii="Times New Roman" w:eastAsia="Times New Roman" w:hAnsi="Times New Roman" w:cs="Times New Roman"/>
        </w:rPr>
        <w:t>&gt;</w:t>
      </w:r>
      <w:r>
        <w:rPr>
          <w:rFonts w:ascii="SimSun" w:eastAsia="SimSun" w:hAnsi="SimSun" w:cs="SimSun"/>
        </w:rPr>
        <w:t>的通知》（海船员</w:t>
      </w:r>
      <w:r>
        <w:rPr>
          <w:rFonts w:ascii="Times New Roman" w:eastAsia="Times New Roman" w:hAnsi="Times New Roman" w:cs="Times New Roman"/>
        </w:rPr>
        <w:t>[2012]678</w:t>
      </w:r>
      <w:r>
        <w:rPr>
          <w:rFonts w:ascii="SimSun" w:eastAsia="SimSun" w:hAnsi="SimSun" w:cs="SimSun"/>
        </w:rPr>
        <w:t>号）等文件精神，集美大学航海技术专业要求男生身高</w:t>
      </w:r>
      <w:r>
        <w:rPr>
          <w:rFonts w:ascii="Times New Roman" w:eastAsia="Times New Roman" w:hAnsi="Times New Roman" w:cs="Times New Roman"/>
        </w:rPr>
        <w:t>165cm</w:t>
      </w:r>
      <w:r>
        <w:rPr>
          <w:rFonts w:ascii="SimSun" w:eastAsia="SimSun" w:hAnsi="SimSun" w:cs="SimSun"/>
        </w:rPr>
        <w:t>（含）以上、女生身高</w:t>
      </w:r>
      <w:r>
        <w:rPr>
          <w:rFonts w:ascii="Times New Roman" w:eastAsia="Times New Roman" w:hAnsi="Times New Roman" w:cs="Times New Roman"/>
        </w:rPr>
        <w:t>160cm</w:t>
      </w:r>
      <w:r>
        <w:rPr>
          <w:rFonts w:ascii="SimSun" w:eastAsia="SimSun" w:hAnsi="SimSun" w:cs="SimSun"/>
        </w:rPr>
        <w:t>（含）以上，双眼裸视力</w:t>
      </w:r>
      <w:r>
        <w:rPr>
          <w:rFonts w:ascii="Times New Roman" w:eastAsia="Times New Roman" w:hAnsi="Times New Roman" w:cs="Times New Roman"/>
        </w:rPr>
        <w:t>4.7</w:t>
      </w:r>
      <w:r>
        <w:rPr>
          <w:rFonts w:ascii="SimSun" w:eastAsia="SimSun" w:hAnsi="SimSun" w:cs="SimSun"/>
        </w:rPr>
        <w:t>（含）以上，且矫正视力均能达</w:t>
      </w:r>
      <w:r>
        <w:rPr>
          <w:rFonts w:ascii="Times New Roman" w:eastAsia="Times New Roman" w:hAnsi="Times New Roman" w:cs="Times New Roman"/>
        </w:rPr>
        <w:t>4.9</w:t>
      </w:r>
      <w:r>
        <w:rPr>
          <w:rFonts w:ascii="SimSun" w:eastAsia="SimSun" w:hAnsi="SimSun" w:cs="SimSun"/>
        </w:rPr>
        <w:t>（含）以上，无色盲色弱；轮机工程、船舶电子电气工程专业要求身高</w:t>
      </w:r>
      <w:r>
        <w:rPr>
          <w:rFonts w:ascii="Times New Roman" w:eastAsia="Times New Roman" w:hAnsi="Times New Roman" w:cs="Times New Roman"/>
        </w:rPr>
        <w:t>155cm</w:t>
      </w:r>
      <w:r>
        <w:rPr>
          <w:rFonts w:ascii="SimSun" w:eastAsia="SimSun" w:hAnsi="SimSun" w:cs="SimSun"/>
        </w:rPr>
        <w:t>（含）以上，双眼裸视力</w:t>
      </w:r>
      <w:r>
        <w:rPr>
          <w:rFonts w:ascii="Times New Roman" w:eastAsia="Times New Roman" w:hAnsi="Times New Roman" w:cs="Times New Roman"/>
        </w:rPr>
        <w:t>4.6</w:t>
      </w:r>
      <w:r>
        <w:rPr>
          <w:rFonts w:ascii="SimSun" w:eastAsia="SimSun" w:hAnsi="SimSun" w:cs="SimSun"/>
        </w:rPr>
        <w:t>（含）以上，且矫正视力均能达</w:t>
      </w:r>
      <w:r>
        <w:rPr>
          <w:rFonts w:ascii="Times New Roman" w:eastAsia="Times New Roman" w:hAnsi="Times New Roman" w:cs="Times New Roman"/>
        </w:rPr>
        <w:t>4.8</w:t>
      </w:r>
      <w:r>
        <w:rPr>
          <w:rFonts w:ascii="SimSun" w:eastAsia="SimSun" w:hAnsi="SimSun" w:cs="SimSun"/>
        </w:rPr>
        <w:t>（含）以上，无色盲。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三、新生入学后，学校组织体检复查。复查达不到录取要求的，将区别情况予以处理，如存在弄虚作假、徇私舞弊等行为，确认为复查不合格，取消学籍。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专业调配原则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一、集美大学采用</w:t>
      </w:r>
      <w:r>
        <w:rPr>
          <w:rFonts w:ascii="Times New Roman" w:eastAsia="Times New Roman" w:hAnsi="Times New Roman" w:cs="Times New Roman"/>
        </w:rPr>
        <w:t>“</w:t>
      </w:r>
      <w:r>
        <w:rPr>
          <w:rFonts w:ascii="SimSun" w:eastAsia="SimSun" w:hAnsi="SimSun" w:cs="SimSun"/>
        </w:rPr>
        <w:t>专业级差</w:t>
      </w:r>
      <w:r>
        <w:rPr>
          <w:rFonts w:ascii="Times New Roman" w:eastAsia="Times New Roman" w:hAnsi="Times New Roman" w:cs="Times New Roman"/>
        </w:rPr>
        <w:t>”</w:t>
      </w:r>
      <w:r>
        <w:rPr>
          <w:rFonts w:ascii="SimSun" w:eastAsia="SimSun" w:hAnsi="SimSun" w:cs="SimSun"/>
        </w:rPr>
        <w:t>的方式进行专业调配。专业志愿级差总分值为</w:t>
      </w:r>
      <w:r>
        <w:rPr>
          <w:rFonts w:ascii="Times New Roman" w:eastAsia="Times New Roman" w:hAnsi="Times New Roman" w:cs="Times New Roman"/>
        </w:rPr>
        <w:t>7</w:t>
      </w:r>
      <w:r>
        <w:rPr>
          <w:rFonts w:ascii="SimSun" w:eastAsia="SimSun" w:hAnsi="SimSun" w:cs="SimSun"/>
        </w:rPr>
        <w:t>分，即第一专业志愿与其他专业志愿级差为</w:t>
      </w:r>
      <w:r>
        <w:rPr>
          <w:rFonts w:ascii="Times New Roman" w:eastAsia="Times New Roman" w:hAnsi="Times New Roman" w:cs="Times New Roman"/>
        </w:rPr>
        <w:t>5</w:t>
      </w:r>
      <w:r>
        <w:rPr>
          <w:rFonts w:ascii="SimSun" w:eastAsia="SimSun" w:hAnsi="SimSun" w:cs="SimSun"/>
        </w:rPr>
        <w:t>分；其他专业志愿间不设级差，视为平行志愿；其他专业志愿与调剂专业志愿间专业级差为</w:t>
      </w:r>
      <w:r>
        <w:rPr>
          <w:rFonts w:ascii="Times New Roman" w:eastAsia="Times New Roman" w:hAnsi="Times New Roman" w:cs="Times New Roman"/>
        </w:rPr>
        <w:t>2</w:t>
      </w:r>
      <w:r>
        <w:rPr>
          <w:rFonts w:ascii="SimSun" w:eastAsia="SimSun" w:hAnsi="SimSun" w:cs="SimSun"/>
        </w:rPr>
        <w:t>分。其中，上海市考生在各专业组内按</w:t>
      </w:r>
      <w:r>
        <w:rPr>
          <w:rFonts w:ascii="Times New Roman" w:eastAsia="Times New Roman" w:hAnsi="Times New Roman" w:cs="Times New Roman"/>
        </w:rPr>
        <w:t>“</w:t>
      </w:r>
      <w:r>
        <w:rPr>
          <w:rFonts w:ascii="SimSun" w:eastAsia="SimSun" w:hAnsi="SimSun" w:cs="SimSun"/>
        </w:rPr>
        <w:t>专业级差</w:t>
      </w:r>
      <w:r>
        <w:rPr>
          <w:rFonts w:ascii="Times New Roman" w:eastAsia="Times New Roman" w:hAnsi="Times New Roman" w:cs="Times New Roman"/>
        </w:rPr>
        <w:t>”</w:t>
      </w:r>
      <w:r>
        <w:rPr>
          <w:rFonts w:ascii="SimSun" w:eastAsia="SimSun" w:hAnsi="SimSun" w:cs="SimSun"/>
        </w:rPr>
        <w:t>方式调配。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集美大学原则上认可考生生源所在地省级招生委员会制订的有关加（降）分政策，以考生的投档分为预录取调配依据。实行平行志愿投档模式的省份，按包含考生位次信息的投档成绩进行专业调配，对投档成绩相同的考生，以各省确定的成绩排序规则进行排序；实行非平行志愿投档模式的省份，对投档成绩相同的考生，将综合考虑考生相关科目成绩及特长等因素，择优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三、内蒙古自治区考生按照</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四、江苏省考生的两门选测科目要求为：理工类专业选测科目为物理，文史类专业选测科目为历史，另一门选测科目原则上不做要求；学业水平测试的合格等级要求为：必测</w:t>
      </w:r>
      <w:r>
        <w:rPr>
          <w:rFonts w:ascii="Times New Roman" w:eastAsia="Times New Roman" w:hAnsi="Times New Roman" w:cs="Times New Roman"/>
        </w:rPr>
        <w:t>4C</w:t>
      </w:r>
      <w:r>
        <w:rPr>
          <w:rFonts w:ascii="SimSun" w:eastAsia="SimSun" w:hAnsi="SimSun" w:cs="SimSun"/>
        </w:rPr>
        <w:t>，选测</w:t>
      </w:r>
      <w:r>
        <w:rPr>
          <w:rFonts w:ascii="Times New Roman" w:eastAsia="Times New Roman" w:hAnsi="Times New Roman" w:cs="Times New Roman"/>
        </w:rPr>
        <w:t>2B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艺术类专业招生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一、集美大学面向福建省招生的艺术类专业实行文理兼招，专业成绩为福建省艺术类专业省级统考成绩，文化成绩为含位次的平行省内特征分。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、美术类专业：从文化成绩和专业成绩均达到福建省艺术类省定控制线的进档考生中，按综合分从高到低进行排序录取。综合分计算公式如下：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美术学：综合分</w:t>
      </w:r>
      <w:r>
        <w:rPr>
          <w:rFonts w:ascii="Times New Roman" w:eastAsia="Times New Roman" w:hAnsi="Times New Roman" w:cs="Times New Roman"/>
        </w:rPr>
        <w:t>=</w:t>
      </w:r>
      <w:r>
        <w:rPr>
          <w:rFonts w:ascii="SimSun" w:eastAsia="SimSun" w:hAnsi="SimSun" w:cs="SimSun"/>
        </w:rPr>
        <w:t>专业成绩</w:t>
      </w:r>
      <w:r>
        <w:rPr>
          <w:rFonts w:ascii="Times New Roman" w:eastAsia="Times New Roman" w:hAnsi="Times New Roman" w:cs="Times New Roman"/>
        </w:rPr>
        <w:t>×2.5×0.6+</w:t>
      </w:r>
      <w:r>
        <w:rPr>
          <w:rFonts w:ascii="SimSun" w:eastAsia="SimSun" w:hAnsi="SimSun" w:cs="SimSun"/>
        </w:rPr>
        <w:t>文化成绩（含位次的平行省内特征分）</w:t>
      </w:r>
      <w:r>
        <w:rPr>
          <w:rFonts w:ascii="Times New Roman" w:eastAsia="Times New Roman" w:hAnsi="Times New Roman" w:cs="Times New Roman"/>
        </w:rPr>
        <w:t xml:space="preserve">×0.4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环境设计（闽台合作项目）：综合分</w:t>
      </w:r>
      <w:r>
        <w:rPr>
          <w:rFonts w:ascii="Times New Roman" w:eastAsia="Times New Roman" w:hAnsi="Times New Roman" w:cs="Times New Roman"/>
        </w:rPr>
        <w:t>=</w:t>
      </w:r>
      <w:r>
        <w:rPr>
          <w:rFonts w:ascii="SimSun" w:eastAsia="SimSun" w:hAnsi="SimSun" w:cs="SimSun"/>
        </w:rPr>
        <w:t>专业成绩</w:t>
      </w:r>
      <w:r>
        <w:rPr>
          <w:rFonts w:ascii="Times New Roman" w:eastAsia="Times New Roman" w:hAnsi="Times New Roman" w:cs="Times New Roman"/>
        </w:rPr>
        <w:t>×2.5×0.7+</w:t>
      </w:r>
      <w:r>
        <w:rPr>
          <w:rFonts w:ascii="SimSun" w:eastAsia="SimSun" w:hAnsi="SimSun" w:cs="SimSun"/>
        </w:rPr>
        <w:t>文化成绩（含位次的平行省内特征分）</w:t>
      </w:r>
      <w:r>
        <w:rPr>
          <w:rFonts w:ascii="Times New Roman" w:eastAsia="Times New Roman" w:hAnsi="Times New Roman" w:cs="Times New Roman"/>
        </w:rPr>
        <w:t xml:space="preserve">×0.3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、音乐类专业：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音乐学：从文化成绩达到福建省艺术类省定控制线、专业成绩高出福建省艺术类本科专业最低录取控制线</w:t>
      </w:r>
      <w:r>
        <w:rPr>
          <w:rFonts w:ascii="Times New Roman" w:eastAsia="Times New Roman" w:hAnsi="Times New Roman" w:cs="Times New Roman"/>
        </w:rPr>
        <w:t>15%</w:t>
      </w:r>
      <w:r>
        <w:rPr>
          <w:rFonts w:ascii="SimSun" w:eastAsia="SimSun" w:hAnsi="SimSun" w:cs="SimSun"/>
        </w:rPr>
        <w:t>的考生中，按综合分（综合分</w:t>
      </w:r>
      <w:r>
        <w:rPr>
          <w:rFonts w:ascii="Times New Roman" w:eastAsia="Times New Roman" w:hAnsi="Times New Roman" w:cs="Times New Roman"/>
        </w:rPr>
        <w:t>=</w:t>
      </w:r>
      <w:r>
        <w:rPr>
          <w:rFonts w:ascii="SimSun" w:eastAsia="SimSun" w:hAnsi="SimSun" w:cs="SimSun"/>
        </w:rPr>
        <w:t>专业成绩</w:t>
      </w:r>
      <w:r>
        <w:rPr>
          <w:rFonts w:ascii="Times New Roman" w:eastAsia="Times New Roman" w:hAnsi="Times New Roman" w:cs="Times New Roman"/>
        </w:rPr>
        <w:t>×2.5×0.7+</w:t>
      </w:r>
      <w:r>
        <w:rPr>
          <w:rFonts w:ascii="SimSun" w:eastAsia="SimSun" w:hAnsi="SimSun" w:cs="SimSun"/>
        </w:rPr>
        <w:t>文化成绩（含位次的平行省内特征分）</w:t>
      </w:r>
      <w:r>
        <w:rPr>
          <w:rFonts w:ascii="Times New Roman" w:eastAsia="Times New Roman" w:hAnsi="Times New Roman" w:cs="Times New Roman"/>
        </w:rPr>
        <w:t>×0.3</w:t>
      </w:r>
      <w:r>
        <w:rPr>
          <w:rFonts w:ascii="SimSun" w:eastAsia="SimSun" w:hAnsi="SimSun" w:cs="SimSun"/>
        </w:rPr>
        <w:t>）从高到低进行排序录取。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舞蹈表演：从文化成绩和专业成绩均达到福建省艺术类省定控制线的进档考生中，按专业成绩从高到低进行排序录取，如遇排序成绩相同，则按含位次的平行省内特征分排序录取。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二、集美大学面向福建省外招生的艺术类专业只招收艺术（文）考生（艺术不分文理的省份除外），专业成绩为考生所在省艺术类专业省级统考成绩，文化成绩为投档文化分。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、美术类专业（动画、视觉传达设计、环境设计）：从文化成绩和专业成绩均达到所在省艺术类省定控制线的进档考生中，按综合分（综合分</w:t>
      </w:r>
      <w:r>
        <w:rPr>
          <w:rFonts w:ascii="Times New Roman" w:eastAsia="Times New Roman" w:hAnsi="Times New Roman" w:cs="Times New Roman"/>
        </w:rPr>
        <w:t>=</w:t>
      </w:r>
      <w:r>
        <w:rPr>
          <w:rFonts w:ascii="SimSun" w:eastAsia="SimSun" w:hAnsi="SimSun" w:cs="SimSun"/>
        </w:rPr>
        <w:t>专业成绩</w:t>
      </w:r>
      <w:r>
        <w:rPr>
          <w:rFonts w:ascii="Times New Roman" w:eastAsia="Times New Roman" w:hAnsi="Times New Roman" w:cs="Times New Roman"/>
        </w:rPr>
        <w:t>×2.5×0.7+</w:t>
      </w:r>
      <w:r>
        <w:rPr>
          <w:rFonts w:ascii="SimSun" w:eastAsia="SimSun" w:hAnsi="SimSun" w:cs="SimSun"/>
        </w:rPr>
        <w:t>文化成绩</w:t>
      </w:r>
      <w:r>
        <w:rPr>
          <w:rFonts w:ascii="Times New Roman" w:eastAsia="Times New Roman" w:hAnsi="Times New Roman" w:cs="Times New Roman"/>
        </w:rPr>
        <w:t>×0.3</w:t>
      </w:r>
      <w:r>
        <w:rPr>
          <w:rFonts w:ascii="SimSun" w:eastAsia="SimSun" w:hAnsi="SimSun" w:cs="SimSun"/>
        </w:rPr>
        <w:t>）从高到低进行录取，专业间不设级差。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、音乐类专业（音乐表演、舞蹈表演）：从文化成绩和专业成绩均达到所在省艺术类省定控制线的进档考生中，按专业成绩从高到低录取。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、如遇排序成绩相同，按文化成绩、语文、数学、英语依次进行排序。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、对高校艺术类专业录取有专门规定的省份，按该省的相关规定执行。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体育类专业招生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一、集美大学体育类统招专业仅面向福建省招生，实行文理兼招，从文化成绩和专业成绩均达到福建省体育类省定控制线的进档考生中，按综合分从高到低择优录取。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二、集美大学体育类单招专业（运动训练、武术与民族传统体育）招生，按教育部、国家体育总局的有关规定和学校当年的招生简章执行。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少数民族预科班招生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一、生源限定为集美大学当年安排有少数民族预科招生计划的省份，且参加全国高考的少数民族考生，录取成绩要求为不低于生源所在省份集美大学出档线下</w:t>
      </w:r>
      <w:r>
        <w:rPr>
          <w:rFonts w:ascii="Times New Roman" w:eastAsia="Times New Roman" w:hAnsi="Times New Roman" w:cs="Times New Roman"/>
        </w:rPr>
        <w:t>80</w:t>
      </w:r>
      <w:r>
        <w:rPr>
          <w:rFonts w:ascii="SimSun" w:eastAsia="SimSun" w:hAnsi="SimSun" w:cs="SimSun"/>
        </w:rPr>
        <w:t>分以内。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录取的预科学生需在集美大学教师教育学院进行一年预科阶段学习，集美大学将根据学生在预科阶段考核的综合成绩，结合学生预转本志愿填报情况及集美大学拟定的预转本招生专业及计划确定其本科学习专业，并转入相关学院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集美大学航海类专业（航海技术、轮机工程、船舶电子电气工程）培养从事海上航运工作专门人才。由于工作性质特殊，航海类专业不适宜女生报考。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外语语种要求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一、集美大学以英语为公共基础外语安排教学。除外语类专业，其余招生专业均无外语应试语种要求。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二、外语类专业（英语、日语、翻译）高考外语语种为英语。考生所在省级招生考试机构若组织口试，考生须参加且成绩合格。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三、航海类专业（航海技术、轮机工程、船舶电子电气工程）考证外语语种为英语，非英语语种考生不适宜报考。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软件工程专业学生不能转专业，艺术类、体育类、航海类和闽台合作项目类学生不能跨类转专业，其他学生入学后可以按照学校的相关规定申请转专业。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一、艺术类专业：</w:t>
      </w:r>
      <w:r>
        <w:rPr>
          <w:rFonts w:ascii="Times New Roman" w:eastAsia="Times New Roman" w:hAnsi="Times New Roman" w:cs="Times New Roman"/>
        </w:rPr>
        <w:t>8640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学年；软件工程专业：一、二年级</w:t>
      </w:r>
      <w:r>
        <w:rPr>
          <w:rFonts w:ascii="Times New Roman" w:eastAsia="Times New Roman" w:hAnsi="Times New Roman" w:cs="Times New Roman"/>
        </w:rPr>
        <w:t>5460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学年，三、四年级</w:t>
      </w:r>
      <w:r>
        <w:rPr>
          <w:rFonts w:ascii="Times New Roman" w:eastAsia="Times New Roman" w:hAnsi="Times New Roman" w:cs="Times New Roman"/>
        </w:rPr>
        <w:t>13000/</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学年；其他本科专业：</w:t>
      </w:r>
      <w:r>
        <w:rPr>
          <w:rFonts w:ascii="Times New Roman" w:eastAsia="Times New Roman" w:hAnsi="Times New Roman" w:cs="Times New Roman"/>
        </w:rPr>
        <w:t>5460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二、闽台合作项目的普通类专业：</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学年；艺术类专业：</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学年。学生第三年到台湾合作高校学习，在台湾期间的学习费用，根据双方合作协议执行。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三、在集美大学就读的少数民族预科生：</w:t>
      </w:r>
      <w:r>
        <w:rPr>
          <w:rFonts w:ascii="Times New Roman" w:eastAsia="Times New Roman" w:hAnsi="Times New Roman" w:cs="Times New Roman"/>
        </w:rPr>
        <w:t>5040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学年；在其它预科培养学校就读的少数民族预科生，参照教育部民族司委托的预科培养学校学费标准执行。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住宿费标准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一、集美大学统一安排学生宿舍（不含留学生公寓），根据住宿条件不同，收费标准为</w:t>
      </w:r>
      <w:r>
        <w:rPr>
          <w:rFonts w:ascii="Times New Roman" w:eastAsia="Times New Roman" w:hAnsi="Times New Roman" w:cs="Times New Roman"/>
        </w:rPr>
        <w:t>550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学年至</w:t>
      </w:r>
      <w:r>
        <w:rPr>
          <w:rFonts w:ascii="Times New Roman" w:eastAsia="Times New Roman" w:hAnsi="Times New Roman" w:cs="Times New Roman"/>
        </w:rPr>
        <w:t>1300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二、闽台合作项目学生赴台湾学习期间，住宿费由台湾合作高校按当年收费标准收取。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以上收费标准如有调整，按主管部门文件标准执行。退费办法按《集美大学学生缴费管理办法》（集大财</w:t>
      </w:r>
      <w:r>
        <w:rPr>
          <w:rFonts w:ascii="Times New Roman" w:eastAsia="Times New Roman" w:hAnsi="Times New Roman" w:cs="Times New Roman"/>
        </w:rPr>
        <w:t>[2006]8</w:t>
      </w:r>
      <w:r>
        <w:rPr>
          <w:rFonts w:ascii="SimSun" w:eastAsia="SimSun" w:hAnsi="SimSun" w:cs="SimSun"/>
        </w:rPr>
        <w:t>号）中的相关规定执行。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奖励资助政策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国家奖、助政策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设立国家奖学金、国家励志奖学金奖励资助品学兼优的学生；施行生源地信用助学贷款、设立国家助学金，用于解决学生学费、住宿费和生活费；对应征入伍服义务兵役、直接招收为士官的学生给予学费补偿或者国家助学贷款代偿；对退役士兵给予学费、生活费、奖助学金等教育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集美大学奖、助体系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集美大学设立学业奖学金、单项奖学金（如创新竞赛奖、文体单项奖等）和企业、社会团体捐资设立的奖学金，激励学生勤奋学习，努力创新。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集美大学开通</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，协办校园地国家助学贷款，并建立了包含勤工助学、困难补助、专业补贴、就业援助、基层就业与自主创业奖励、社会捐助等多元资助形式的完整资助体系，以确保家庭经济困难学生安心就学。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本章程自公布之日起生效。学校原有的关于招生工作的文件、规定与本章程不一致时，以本章程为准。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本章程若与国家法律、法规和各省（市、自治区）有关招生政策不一致，以国家法律、法规和各省（市、自治区）有关招生政策为准。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集美大学没有委托、授权任何中介机构和个人参与学校的招生工作。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本章程由学校招生办公室负责解释。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http://www.jmu.edu.cn</w:t>
      </w:r>
      <w:r>
        <w:rPr>
          <w:rFonts w:ascii="SimSun" w:eastAsia="SimSun" w:hAnsi="SimSun" w:cs="SimSun"/>
        </w:rPr>
        <w:t>；招生咨询电话：</w:t>
      </w:r>
      <w:r>
        <w:rPr>
          <w:rFonts w:ascii="Times New Roman" w:eastAsia="Times New Roman" w:hAnsi="Times New Roman" w:cs="Times New Roman"/>
        </w:rPr>
        <w:t>0592-6181301</w:t>
      </w:r>
      <w:r>
        <w:rPr>
          <w:rFonts w:ascii="SimSun" w:eastAsia="SimSun" w:hAnsi="SimSun" w:cs="SimSun"/>
        </w:rPr>
        <w:t>；传真：</w:t>
      </w:r>
      <w:r>
        <w:rPr>
          <w:rFonts w:ascii="Times New Roman" w:eastAsia="Times New Roman" w:hAnsi="Times New Roman" w:cs="Times New Roman"/>
        </w:rPr>
        <w:t>0592-6185889</w:t>
      </w:r>
      <w:r>
        <w:rPr>
          <w:rFonts w:ascii="SimSun" w:eastAsia="SimSun" w:hAnsi="SimSun" w:cs="SimSun"/>
        </w:rPr>
        <w:t>；电子邮箱：</w:t>
      </w:r>
      <w:r>
        <w:rPr>
          <w:rFonts w:ascii="Times New Roman" w:eastAsia="Times New Roman" w:hAnsi="Times New Roman" w:cs="Times New Roman"/>
        </w:rPr>
        <w:t>zsb@jmu.edu.cn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福建工程学院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福建中医药大学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福州黎明职业技术学院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泉州信息工程学院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闽北职业技术学院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福州外语外贸学院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福建师范大学协和学院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阳光学院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福建农林大学东方学院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泉州理工职业学院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19/0223/6754.html" TargetMode="External" /><Relationship Id="rId11" Type="http://schemas.openxmlformats.org/officeDocument/2006/relationships/hyperlink" Target="http://www.gk114.com/a/gxzs/zszc/fujian/2019/0223/6753.html" TargetMode="External" /><Relationship Id="rId12" Type="http://schemas.openxmlformats.org/officeDocument/2006/relationships/hyperlink" Target="http://www.gk114.com/a/gxzs/zszc/fujian/2019/0223/6752.html" TargetMode="External" /><Relationship Id="rId13" Type="http://schemas.openxmlformats.org/officeDocument/2006/relationships/hyperlink" Target="http://www.gk114.com/a/gxzs/zszc/fujian/2019/0223/6751.html" TargetMode="External" /><Relationship Id="rId14" Type="http://schemas.openxmlformats.org/officeDocument/2006/relationships/hyperlink" Target="http://www.gk114.com/a/gxzs/zszc/fujian/2019/0223/6750.html" TargetMode="External" /><Relationship Id="rId15" Type="http://schemas.openxmlformats.org/officeDocument/2006/relationships/hyperlink" Target="http://www.gk114.com/a/gxzs/zszc/fujian/2019/0223/6749.html" TargetMode="External" /><Relationship Id="rId16" Type="http://schemas.openxmlformats.org/officeDocument/2006/relationships/hyperlink" Target="http://www.gk114.com/a/gxzs/zszc/fujian/2019/0223/6748.html" TargetMode="External" /><Relationship Id="rId17" Type="http://schemas.openxmlformats.org/officeDocument/2006/relationships/hyperlink" Target="http://www.gk114.com/a/gxzs/zszc/fujian/2019/0222/672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fujian/2019/0222/6729.html" TargetMode="External" /><Relationship Id="rId5" Type="http://schemas.openxmlformats.org/officeDocument/2006/relationships/hyperlink" Target="http://www.gk114.com/a/gxzs/zszc/fujian/2019/0223/6731.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21/0614/19924.html" TargetMode="External" /><Relationship Id="rId8" Type="http://schemas.openxmlformats.org/officeDocument/2006/relationships/hyperlink" Target="http://www.gk114.com/a/gxzs/zszc/fujian/2020/0618/16865.html" TargetMode="External" /><Relationship Id="rId9" Type="http://schemas.openxmlformats.org/officeDocument/2006/relationships/hyperlink" Target="http://www.gk114.com/a/gxzs/zszc/fujian/2019/0223/675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