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鞍山师范学院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、学校全称：</w:t>
      </w:r>
      <w:r>
        <w:rPr>
          <w:rFonts w:ascii="Microsoft YaHei" w:eastAsia="Microsoft YaHei" w:hAnsi="Microsoft YaHei" w:cs="Microsoft YaHei"/>
          <w:color w:val="333333"/>
        </w:rPr>
        <w:t>鞍山师范学院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本科（除专升本专业、健康服务与管理专业的其他本科专业）在校本部平安街校区办学：辽宁省鞍山市铁东区平安街43号 邮编：114007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高职（专科）（包括专升本专业、健康服务与管理专业）在职教城校区办学：辽宁省鞍山市千山区千山西路690号 邮编：114016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本科、高职（专科）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w:t>
      </w:r>
      <w:r>
        <w:rPr>
          <w:rFonts w:ascii="Microsoft YaHei" w:eastAsia="Microsoft YaHei" w:hAnsi="Microsoft YaHei" w:cs="Microsoft YaHei"/>
          <w:b/>
          <w:bCs/>
          <w:color w:val="333333"/>
        </w:rPr>
        <w:t>、办学形式：</w:t>
      </w:r>
      <w:r>
        <w:rPr>
          <w:rFonts w:ascii="Microsoft YaHei" w:eastAsia="Microsoft YaHei" w:hAnsi="Microsoft YaHei" w:cs="Microsoft YaHei"/>
          <w:color w:val="333333"/>
        </w:rPr>
        <w:t>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6</w:t>
      </w:r>
      <w:r>
        <w:rPr>
          <w:rFonts w:ascii="Microsoft YaHei" w:eastAsia="Microsoft YaHei" w:hAnsi="Microsoft YaHei" w:cs="Microsoft YaHei"/>
          <w:b/>
          <w:bCs/>
          <w:color w:val="333333"/>
        </w:rPr>
        <w:t>、主要办学条件：</w:t>
      </w:r>
      <w:r>
        <w:rPr>
          <w:rFonts w:ascii="Microsoft YaHei" w:eastAsia="Microsoft YaHei" w:hAnsi="Microsoft YaHei" w:cs="Microsoft YaHei"/>
          <w:color w:val="333333"/>
        </w:rPr>
        <w:t>校园占地面积75.1万平方米（约合1126.1亩）；生均教学行政用房面积12.7平方米；生均宿舍面积7.8平方米；生师比17.2；专任教师842人，其中具有研究生学位教师占专任教师的比例为85.4%；具有高级职务教师占专任教师的比例49.0%；教学科研仪器设备总值12282.6万元，生均教学科研仪器设备值7618.8元；图书114.7万册，生均图书71.2册。（办学条件数据以2022年基层统计报表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住宿条件：2023级新生宿舍标准平安街校区为4人间或6间，职教城校区6人间或8人间。宿舍分配方案：2023级新生入学采取学校集中统一分配。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二、招生计划特别说明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、招生计划分配原则：</w:t>
      </w:r>
      <w:r>
        <w:rPr>
          <w:rFonts w:ascii="Microsoft YaHei" w:eastAsia="Microsoft YaHei" w:hAnsi="Microsoft YaHei" w:cs="Microsoft YaHei"/>
          <w:color w:val="333333"/>
        </w:rPr>
        <w:t>根据我校人才培养目标、办学条件等实际情况，以社会需求为导向，以人才需求规划为参考，统筹考虑各省（区、市）考生人数、生源质量、就业情况、区域协调发展及重点支持政策、历年计划安排等因素，确定分省招生计划，招生计划重点向中西部地区倾斜。我校招生计划按照省教育厅核准的分省分专业招生计划执行。2023年学校不设置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、有语种限制的专业及允许招生的语种：</w:t>
      </w:r>
      <w:r>
        <w:rPr>
          <w:rFonts w:ascii="Microsoft YaHei" w:eastAsia="Microsoft YaHei" w:hAnsi="Microsoft YaHei" w:cs="Microsoft YaHei"/>
          <w:color w:val="333333"/>
        </w:rPr>
        <w:t>本科的英语（师范）专业只安排英语教学，其他语种考生慎报；日语专业只安排英语或日语教学，其他语种考生慎报；计算机科学与技术专业外语课程只安排英语或日语教学，其他语种考生慎报。高职（专科）的应用英语和应用韩语专业只安排英语教学，其他语种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3、高考综合改革试点省(市)设置的招生专业，对选考科目的要求、综合素质评价档案的使用办法，以当地教育行政部门（或招生考试部门）及我校官方网站公布为准，选考科目与2019年公布的选考科目保持一致。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专业设置说明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w:t>
      </w:r>
    </w:p>
    <w:tbl>
      <w:tblPr>
        <w:tblW w:w="9870" w:type="dxa"/>
        <w:tblInd w:w="210" w:type="dxa"/>
        <w:tblCellMar>
          <w:top w:w="15" w:type="dxa"/>
          <w:left w:w="15" w:type="dxa"/>
          <w:bottom w:w="15" w:type="dxa"/>
          <w:right w:w="15" w:type="dxa"/>
        </w:tblCellMar>
      </w:tblPr>
      <w:tblGrid>
        <w:gridCol w:w="960"/>
        <w:gridCol w:w="1477"/>
        <w:gridCol w:w="2880"/>
        <w:gridCol w:w="960"/>
        <w:gridCol w:w="960"/>
        <w:gridCol w:w="3741"/>
        <w:gridCol w:w="5959"/>
        <w:gridCol w:w="1920"/>
        <w:gridCol w:w="2365"/>
        <w:gridCol w:w="1200"/>
      </w:tblGrid>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年限</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科类1（非高考综合改革省份）</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科类2（采用“3+1+2”模式的高考综合改革省份）</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学费标准元/年/生</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030302</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社会工作</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030503</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040104</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教育技术学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040106</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040107</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小学教育</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体育类（物理学历史学科类兼招）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040207T</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休闲体育</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体育类（物理学历史学科类兼招）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050103</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汉语国际教育</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050205</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西班牙语</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050306</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网络与新媒体</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060101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070201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070501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地理科学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071001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071102</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应用心理学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120108T</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大数据管理与应用</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120410T</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健康服务与管理</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高职</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120902</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130401</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130404</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摄影</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130405T</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书法学</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870" w:type="dxa"/>
          <w:tblInd w:w="210" w:type="dxa"/>
          <w:tblCellMar>
            <w:top w:w="15" w:type="dxa"/>
            <w:left w:w="15" w:type="dxa"/>
            <w:bottom w:w="15" w:type="dxa"/>
            <w:right w:w="15" w:type="dxa"/>
          </w:tblCellMar>
        </w:tblPrEx>
        <w:tc>
          <w:tcPr>
            <w:tcW w:w="7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130504</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艺术类（物理学历史学科类兼招）</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高职专科:</w:t>
      </w:r>
    </w:p>
    <w:tbl>
      <w:tblPr>
        <w:tblW w:w="9045" w:type="dxa"/>
        <w:tblInd w:w="210" w:type="dxa"/>
        <w:tblCellMar>
          <w:top w:w="15" w:type="dxa"/>
          <w:left w:w="15" w:type="dxa"/>
          <w:bottom w:w="15" w:type="dxa"/>
          <w:right w:w="15" w:type="dxa"/>
        </w:tblCellMar>
      </w:tblPr>
      <w:tblGrid>
        <w:gridCol w:w="960"/>
        <w:gridCol w:w="1324"/>
        <w:gridCol w:w="2400"/>
        <w:gridCol w:w="960"/>
        <w:gridCol w:w="960"/>
        <w:gridCol w:w="3741"/>
        <w:gridCol w:w="5719"/>
        <w:gridCol w:w="2365"/>
        <w:gridCol w:w="960"/>
      </w:tblGrid>
      <w:tr>
        <w:tblPrEx>
          <w:tblW w:w="9045" w:type="dxa"/>
          <w:tblInd w:w="210" w:type="dxa"/>
          <w:tblCellMar>
            <w:top w:w="15" w:type="dxa"/>
            <w:left w:w="15" w:type="dxa"/>
            <w:bottom w:w="15" w:type="dxa"/>
            <w:right w:w="15" w:type="dxa"/>
          </w:tblCellMar>
        </w:tblPrEx>
        <w:tc>
          <w:tcPr>
            <w:tcW w:w="8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2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年限</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科类1（非高考综合改革省份）</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科类2（采用“3+1+2模式的高考综合改革省份）</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学费标准元/年/生</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W w:w="9045" w:type="dxa"/>
          <w:tblInd w:w="210" w:type="dxa"/>
          <w:tblCellMar>
            <w:top w:w="15" w:type="dxa"/>
            <w:left w:w="15" w:type="dxa"/>
            <w:bottom w:w="15" w:type="dxa"/>
            <w:right w:w="15" w:type="dxa"/>
          </w:tblCellMar>
        </w:tblPrEx>
        <w:tc>
          <w:tcPr>
            <w:tcW w:w="8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2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460104</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机械制造及自动化</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045" w:type="dxa"/>
          <w:tblInd w:w="210" w:type="dxa"/>
          <w:tblCellMar>
            <w:top w:w="15" w:type="dxa"/>
            <w:left w:w="15" w:type="dxa"/>
            <w:bottom w:w="15" w:type="dxa"/>
            <w:right w:w="15" w:type="dxa"/>
          </w:tblCellMar>
        </w:tblPrEx>
        <w:tc>
          <w:tcPr>
            <w:tcW w:w="8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2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520801</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健康管理</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045" w:type="dxa"/>
          <w:tblInd w:w="210" w:type="dxa"/>
          <w:tblCellMar>
            <w:top w:w="15" w:type="dxa"/>
            <w:left w:w="15" w:type="dxa"/>
            <w:bottom w:w="15" w:type="dxa"/>
            <w:right w:w="15" w:type="dxa"/>
          </w:tblCellMar>
        </w:tblPrEx>
        <w:tc>
          <w:tcPr>
            <w:tcW w:w="8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2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045" w:type="dxa"/>
          <w:tblInd w:w="210" w:type="dxa"/>
          <w:tblCellMar>
            <w:top w:w="15" w:type="dxa"/>
            <w:left w:w="15" w:type="dxa"/>
            <w:bottom w:w="15" w:type="dxa"/>
            <w:right w:w="15" w:type="dxa"/>
          </w:tblCellMar>
        </w:tblPrEx>
        <w:tc>
          <w:tcPr>
            <w:tcW w:w="8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045" w:type="dxa"/>
          <w:tblInd w:w="210" w:type="dxa"/>
          <w:tblCellMar>
            <w:top w:w="15" w:type="dxa"/>
            <w:left w:w="15" w:type="dxa"/>
            <w:bottom w:w="15" w:type="dxa"/>
            <w:right w:w="15" w:type="dxa"/>
          </w:tblCellMar>
        </w:tblPrEx>
        <w:tc>
          <w:tcPr>
            <w:tcW w:w="8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2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550101</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艺术设计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艺术类（物理学历史学科类兼招）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045" w:type="dxa"/>
          <w:tblInd w:w="210" w:type="dxa"/>
          <w:tblCellMar>
            <w:top w:w="15" w:type="dxa"/>
            <w:left w:w="15" w:type="dxa"/>
            <w:bottom w:w="15" w:type="dxa"/>
            <w:right w:w="15" w:type="dxa"/>
          </w:tblCellMar>
        </w:tblPrEx>
        <w:tc>
          <w:tcPr>
            <w:tcW w:w="8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2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艺术类（物理学历史学科类兼招）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045" w:type="dxa"/>
          <w:tblInd w:w="210" w:type="dxa"/>
          <w:tblCellMar>
            <w:top w:w="15" w:type="dxa"/>
            <w:left w:w="15" w:type="dxa"/>
            <w:bottom w:w="15" w:type="dxa"/>
            <w:right w:w="15" w:type="dxa"/>
          </w:tblCellMar>
        </w:tblPrEx>
        <w:tc>
          <w:tcPr>
            <w:tcW w:w="8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2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550113</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广告艺术设计</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艺术类（物理学历史学科类兼招）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045" w:type="dxa"/>
          <w:tblInd w:w="210" w:type="dxa"/>
          <w:tblCellMar>
            <w:top w:w="15" w:type="dxa"/>
            <w:left w:w="15" w:type="dxa"/>
            <w:bottom w:w="15" w:type="dxa"/>
            <w:right w:w="15" w:type="dxa"/>
          </w:tblCellMar>
        </w:tblPrEx>
        <w:tc>
          <w:tcPr>
            <w:tcW w:w="8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2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570202</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应用英语</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9045" w:type="dxa"/>
          <w:tblInd w:w="210" w:type="dxa"/>
          <w:tblCellMar>
            <w:top w:w="15" w:type="dxa"/>
            <w:left w:w="15" w:type="dxa"/>
            <w:bottom w:w="15" w:type="dxa"/>
            <w:right w:w="15" w:type="dxa"/>
          </w:tblCellMar>
        </w:tblPrEx>
        <w:tc>
          <w:tcPr>
            <w:tcW w:w="8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2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570204</w:t>
            </w:r>
          </w:p>
        </w:tc>
        <w:tc>
          <w:tcPr>
            <w:tcW w:w="22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应用韩语</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3-5年</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物理学历史学科类兼招</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2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本科学生学习期满，成绩合格颁发鞍山师范学院普通高等学校本科毕业证书，达到鞍山师范学院学位授予标准的颁发鞍山师范学院学士学位证书。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高职（专科）学生学习期满，成绩合格颁发鞍山师范学院普通高等学校专科毕业证书。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师范类毕业生须参加国家中小学教师资格考试或学校本科师范生教育教学能力考核，并通过后，方可取得相应中小学教师资格。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五、收、退费等说明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、学费和住宿费收取标准：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省物价部门批准的标准向学生收费，各招生专业收取学费标准在“三、专业设置说明”表中具体列明。本科住宿费收费标准有三档：1200元/学年·生、1000元/学年·生、900元/学年·生，由学校统一安排住宿；高职专科住宿费收费标准有两档：1000元/学年·生、800元/学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按照辽教发【2006】76号文件，学生因故退学或提前结束学业的，根据学生实际学习时间，按月计退剩余的学费和住宿费。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、奖学金、助学金和助学贷款情况：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①奖学金设置情况：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国家奖学金：用于奖励特别优秀的学生，由中央出资设立的奖学金，奖励金额8000元/年•人。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省政府奖学金：用于奖励特别优秀的学生，由辽宁省政府出资设立的奖学金，奖励金额8000元/年•人。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国家励志奖学金：用于奖励资助品学兼优的家庭经济困难学生，由中央出资设立的奖学金，奖励金额5000元/年•人。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优秀学生奖学金：用于奖励德智体美劳全面发展、品学兼优的学生，由学校出资设立的奖学金，标准为：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一等奖学金：2000元/年•人（奖励比例为2%）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二等奖学金：1000元/年•人（奖励比例为4%）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三等奖学金：500元/年•人（奖励比例为8%）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各学院设定的其它奖学金。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为了公平公正，根据《鞍山师范学院全日制本、专科学生奖学金评定办法》（鞍师发【2020】36号）评定各项奖学金，获奖名单在校内公示不少于5个工作日。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②助学情况：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用于资助我校全日制本、专科（含高职、第二学士学位，不含退役士兵学生）在校生中的家庭经济困难学生，资助人数由省教育厅实际划拨的人数确定。资助金额：一等4400元/年•人，二等2750元/年•人。全日制在校退役士兵学生全部享受本专科生国家助学金，标准为每人每年3300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国家助学贷款：国家助学贷款工作按照国家有关精神办理，学生可以到生源地所在县（区）教育局学生资助管理机构咨询和办理生源地信用助学贷款。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证家庭经济困难学生顺利入学，学校开辟了绿色通道。为帮助家庭经济困难学生能顺利完成学业，学校和各学院积极为学生提供勤工助学岗位，组织学生参加勤工助学活动。我校还设有“大学生爱心超市”，为家庭经济困难学生免费提供日常生活用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我校按年度全部免除孤儿大学生在校期间其应缴纳的学费和住宿费，免费为在校孤儿大学生办理学生意外险，创造一切条件，为孤儿大学生优先提供勤工俭学岗位，实行“一对一”精准帮扶。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六、录取办法说明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我校招生录取依据国家教育部最新颁布的《普通高等学校招生工作规定》，本着公平竞争、公正选拔、公开透明的原则，德智体全面考核、综合评价、择优录取。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w:t>
      </w:r>
      <w:r>
        <w:rPr>
          <w:rFonts w:ascii="Microsoft YaHei" w:eastAsia="Microsoft YaHei" w:hAnsi="Microsoft YaHei" w:cs="Microsoft YaHei"/>
          <w:b/>
          <w:bCs/>
          <w:color w:val="333333"/>
        </w:rPr>
        <w:t>、投档比例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按顺序志愿投档的批次，投档比例原则上控制在120%以内。按平行志愿投档的批次，投档比例原则上控制在100%以内。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严格按各省级招生考试机构文件规定执行。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w:t>
      </w:r>
      <w:r>
        <w:rPr>
          <w:rFonts w:ascii="Microsoft YaHei" w:eastAsia="Microsoft YaHei" w:hAnsi="Microsoft YaHei" w:cs="Microsoft YaHei"/>
          <w:b/>
          <w:bCs/>
          <w:color w:val="333333"/>
        </w:rPr>
        <w:t>、身体健康状况要求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按照教育部、原卫生部、中国残疾人联合会印发的《普通高等学校招生体检工作指导意见》执行。新生入学后，对新生身体健康状况进行审查和复查。对不符合标准的，按学籍管理规定处理。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实行平行志愿录取的省（市、区），实行平行志愿投档录取方式；在不实行平行志愿录取的省（市、区），按考生院校志愿录取，当第一志愿结束后未完成招生计划时，在同批录取控制分数线以上，按考生院校志愿顺序，从高分到低分择优录取；当第一志愿结束后完成招生计划时，不再调阅其他志愿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我校在辽宁省招生的普通类本科各专业设在本科批、高职（专科）各专业设在高职（专科）批，实行平行志愿投档录取模式。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辽宁省招生的美术类、音乐类本科专业设在艺术类本科批第一阶段，美术类高职（专科）专业设在艺术类高职（专科）批第一阶段，实行平行志愿投档录取模式；在辽宁省招生的书法类本科专业设在艺术类本科批第二阶段，继续实行有序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我校体育类专业设在体育类本科批，实行平行志愿投档录取模式。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在外省招生的各个专业，均执行生源所在省的省级招生考试机构统一规定的批次设置以及投档原则。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实行高考改革省份，我校各专业对选考科目的科目要求以各省级招生考试机构公布为准。辽宁省2023年实行“3+1+2”模式新高考，各专业按物理学科类、历史学科类分列招生计划，分别投档录取。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w:t>
      </w:r>
      <w:r>
        <w:rPr>
          <w:rFonts w:ascii="Microsoft YaHei" w:eastAsia="Microsoft YaHei" w:hAnsi="Microsoft YaHei" w:cs="Microsoft YaHei"/>
          <w:b/>
          <w:bCs/>
          <w:color w:val="333333"/>
        </w:rPr>
        <w:t>、对高考加分考生的处理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w:t>
      </w:r>
      <w:r>
        <w:rPr>
          <w:rFonts w:ascii="Microsoft YaHei" w:eastAsia="Microsoft YaHei" w:hAnsi="Microsoft YaHei" w:cs="Microsoft YaHei"/>
          <w:b/>
          <w:bCs/>
          <w:color w:val="333333"/>
        </w:rPr>
        <w:t>、进档考生的专业安排办法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分数优先，不设专业极差原则。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有关投档的学生相同分录取原则，执行省里有关招生录取文件规定，省里文件没有明确的，以我校招生章程为准。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w:t>
      </w:r>
      <w:r>
        <w:rPr>
          <w:rFonts w:ascii="Microsoft YaHei" w:eastAsia="Microsoft YaHei" w:hAnsi="Microsoft YaHei" w:cs="Microsoft YaHei"/>
          <w:b/>
          <w:bCs/>
          <w:color w:val="333333"/>
        </w:rPr>
        <w:t>普通文理类专业：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非高考综合改革省份、高考综合改革省份（按院校专业组+专业投档的省份）：分专业录取时在思想政治品德考核和体检均合格的前提下，以考生高考文化课成绩（含政策性加分）为依据，从高分到低分按照考生所报专业志愿（不含专业服从志愿）录取，优先满足高考文化总分（含政策性加分）高的考生的专业志愿，专业志愿之间不设分数级差。当考生高考文化课成绩（含政策性加分）无法满足所填报的专业志愿时，如果考生服从专业调剂，学校根据高考文化课成绩（含政策性加分）并适当参考考生单科成绩，从高分到低分调剂到招生计划尚未完成的专业，直至录满；对于不服从专业调剂的，做退档处理。高考文化课总分（含政策性加分）相同的情况下，文科考生按照语文、数学、外语的顺序，理科考生按照数学、语文、外语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高考综合改革省份（按专业+学校模式投档的省份）：在思想政治品德考核和体检均合格的前提下，满足考生专业志愿，否则作退档处理。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②艺术类专业：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报考我校书法类专业的辽宁省考生必须参加我校组织的艺术专业考试，并且成绩合格；其他艺术类专业考生须参加省级组织的艺术类专业统考且成绩合格。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（1）辽宁美术类、音乐类：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在思想政治品德考核和体检均合格的前提下，满足考生专业志愿，否则作退档处理。当考生综合成绩相同时，以辽宁省招考委公布的平行志愿排序规则为准。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美术类专业综合分计算方法：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文化课成绩（含高考加分）/2+专业课成绩（统考）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音乐学（师范）专业综合分计算方法：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文化课成绩/文化课总分×100×60%＋专业课成绩/专业课总分×100×40%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说明：若考生取得音乐学专业多个“专门化”成绩，则按考生加试“专门化”中的最高成绩计算综合分。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音乐表演专业综合分计算方法：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综合分=“专门化”成绩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（2）辽宁书法类：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针对已投档考生，按考生专业校考成绩排序进行专业录取。考生专业成绩相同时，依次按文化课成绩（含高考加分）、语文单科成绩、外语单科成绩、数学单科成绩从高到低排序。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（3）河北美术音乐、黑龙江音乐、浙江美术音乐、山东美术音乐书法、湖北美术、湖南美术音乐书法、广西美术、甘肃书法：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针对各省已投档的考生，按考生综合分排序，再根据考生填报的专业志愿情况，进行专业分配。综合分计算方法以各省级招生考试机构公布的原则为准。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（4）山西书法、河南美术音乐书法：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针对已投档考生，按考生专业成绩排序，再根据考生填报的专业志愿情况，进行专业分配。考生专业成绩相同时，依次按文化课成绩（含高考加分）、语文单科成绩、外语单科成绩、数学单科成绩从高到低排序。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以上各省如有新的规定，按各省规定执行。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③体育类专业：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在思想政治品德考核和体检均合格的前提下，满足考生专业志愿，否则作退档处理。当考生综合成绩相同时，以辽宁省招考委公布的平行志愿排序规则为准。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综合成绩=文化课成绩（含高考加分）/7.5+专业课成绩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七、艺术类专业校考报名、考试时间、地点及办法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报名条件：符合教育部和各省普通高等学校年度招生工作规定中报名条件者均可报名。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科类要求：我校在辽宁省的书法学（师范）专业校考为物理历史学科类兼招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报名方式：辽宁省书法类专业校考报名方式为“网上报名”。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报名网址：http://sfbm.asnc.edu.cn/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报名时间：2022年12月15日9：00——2022年12月22日16：00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报名具体流程：查看报名网址的通知公告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考生报名时需交考试费180元。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考生报名时须签订《诚信考试承诺书》。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辽宁省书法类专业考试时间、地点及办法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考试时间：2023年1月7日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考试地点：鞍山师范学院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专业考试办法：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1)隶书/篆书临摹100分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2)行书/草书临摹100分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3)创作（指定楷书书体，根据提供的内容，创作作品）100分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临创均有落款，总分300分。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注意事项： 参加书法类专业考试的考生须自备笔、墨、毛毡等考试用具。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我校专业校考合格证发放比例为1:4。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专业考试成绩信息公示网址：http://zsw.asnc.edu.cn/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电话：0412-2961701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传真：0412-2960989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网址：www.asnc.edu.cn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E-mail:assyzsb@163.com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鞍山师范学院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78.html" TargetMode="External" /><Relationship Id="rId11" Type="http://schemas.openxmlformats.org/officeDocument/2006/relationships/hyperlink" Target="http://www.gk114.com/a/gxzs/zszc/liaoning/2023/0516/27688.html" TargetMode="External" /><Relationship Id="rId12" Type="http://schemas.openxmlformats.org/officeDocument/2006/relationships/hyperlink" Target="http://www.gk114.com/a/gxzs/zszc/liaoning/2023/0516/27687.html" TargetMode="External" /><Relationship Id="rId13" Type="http://schemas.openxmlformats.org/officeDocument/2006/relationships/hyperlink" Target="http://www.gk114.com/a/gxzs/zszc/liaoning/2023/0418/26929.html" TargetMode="External" /><Relationship Id="rId14" Type="http://schemas.openxmlformats.org/officeDocument/2006/relationships/hyperlink" Target="http://www.gk114.com/a/gxzs/zszc/liaoning/2023/0109/24095.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611/28282.html" TargetMode="External" /><Relationship Id="rId5" Type="http://schemas.openxmlformats.org/officeDocument/2006/relationships/hyperlink" Target="http://www.gk114.com/a/gxzs/zszc/liaoning/2023/0611/2828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3/0611/28281.html" TargetMode="External" /><Relationship Id="rId8" Type="http://schemas.openxmlformats.org/officeDocument/2006/relationships/hyperlink" Target="http://www.gk114.com/a/gxzs/zszc/liaoning/2023/0611/28280.html" TargetMode="External" /><Relationship Id="rId9" Type="http://schemas.openxmlformats.org/officeDocument/2006/relationships/hyperlink" Target="http://www.gk114.com/a/gxzs/zszc/liaoning/2023/0611/282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