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2018</w:t>
      </w:r>
      <w:r>
        <w:rPr>
          <w:rFonts w:ascii="SimSun" w:eastAsia="SimSun" w:hAnsi="SimSun" w:cs="SimSun"/>
          <w:kern w:val="36"/>
          <w:sz w:val="48"/>
          <w:szCs w:val="48"/>
        </w:rPr>
        <w:t>年黑龙江科技大学招生章程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为了规范招生工作，维护考生合法权益，确保学校招生工作公开、公平、公正、规范、有序，根据《中华人民共和国教育法》、《中华人民共和国高等教育法》，以及我校人才培养实际情况制定本章程。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黑龙江科技大学隶属于黑龙江省人民政府，是国家公办全日制普通高等学校。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学校全称：黑龙江科技大学，学校代码：</w:t>
      </w:r>
      <w:r>
        <w:rPr>
          <w:rFonts w:ascii="Times New Roman" w:eastAsia="Times New Roman" w:hAnsi="Times New Roman" w:cs="Times New Roman"/>
        </w:rPr>
        <w:t>10219</w:t>
      </w:r>
      <w:r>
        <w:rPr>
          <w:rFonts w:ascii="SimSun" w:eastAsia="SimSun" w:hAnsi="SimSun" w:cs="SimSun"/>
        </w:rPr>
        <w:t>，主校区地址：黑龙江省哈尔滨市松北区浦源路</w:t>
      </w:r>
      <w:r>
        <w:rPr>
          <w:rFonts w:ascii="Times New Roman" w:eastAsia="Times New Roman" w:hAnsi="Times New Roman" w:cs="Times New Roman"/>
        </w:rPr>
        <w:t>2468</w:t>
      </w:r>
      <w:r>
        <w:rPr>
          <w:rFonts w:ascii="SimSun" w:eastAsia="SimSun" w:hAnsi="SimSun" w:cs="SimSun"/>
        </w:rPr>
        <w:t>号，邮政编码：</w:t>
      </w:r>
      <w:r>
        <w:rPr>
          <w:rFonts w:ascii="Times New Roman" w:eastAsia="Times New Roman" w:hAnsi="Times New Roman" w:cs="Times New Roman"/>
        </w:rPr>
        <w:t>150022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学校招生工作遵循公平竞争、公正选拔、公开透明的原则，对考生进行择优录取。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学校招生工作接受学校纪检监察部门和上级主管部门监督，同时欢迎考生和家长、新闻媒体及社会各界的监督。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工作领导组织机构，下设招生工作领导小组和招生工作监察领导小组，加强对招生工作的领导，研究制定学校招生政策和招生计划，对重大问题做出决策，同时负责监察招生过程，确保招生工作公开、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招生与就业工作处是学校的职能部门，具体负责开展学校本科层次的招生录取工作，其职责是：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（一）执行国家招生工作的政策、规章及各省招生有关规定，落实学校的实施细则。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（二）负责制订学校招生章程和招生方案。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（三）负责编、印招生宣传材料，开展招生宣传工作，向考生和家长介绍学校情况和录取规则。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（四）负责编制分省分专业招生计划。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（五）负责按照招生章程录取考生，实行阳光工程。并对录取的新生进行复查。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（六）负责新生各类数据的统计分析和上报工作，起草年度工作计划和总结。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（七）负责招生信息网的信息管理及内容更新工作。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2018</w:t>
      </w:r>
      <w:r>
        <w:rPr>
          <w:rFonts w:ascii="SimSun" w:eastAsia="SimSun" w:hAnsi="SimSun" w:cs="SimSun"/>
        </w:rPr>
        <w:t>年招生计划以省教育厅下达、教育部核准的计划为准。学校的录取工作采取计算机网上远程录取方式进行。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学校各专业录取对考生身体健康状况要求按《普通高等学校招生体检工作指导意见》执行。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需要分配专业的考生，学校按照考生投档先后顺序，包括内蒙古自治区在内，均按分数优先的原则为考生分配专业。对加分投档的考生，按高考实考成绩计算分数。对有精确排名分数的省份，依照</w:t>
      </w:r>
      <w:r>
        <w:rPr>
          <w:rFonts w:ascii="Times New Roman" w:eastAsia="Times New Roman" w:hAnsi="Times New Roman" w:cs="Times New Roman"/>
        </w:rPr>
        <w:t>“</w:t>
      </w:r>
      <w:r>
        <w:rPr>
          <w:rFonts w:ascii="SimSun" w:eastAsia="SimSun" w:hAnsi="SimSun" w:cs="SimSun"/>
        </w:rPr>
        <w:t>精确排名分数</w:t>
      </w:r>
      <w:r>
        <w:rPr>
          <w:rFonts w:ascii="Times New Roman" w:eastAsia="Times New Roman" w:hAnsi="Times New Roman" w:cs="Times New Roman"/>
        </w:rPr>
        <w:t>-</w:t>
      </w:r>
      <w:r>
        <w:rPr>
          <w:rFonts w:ascii="SimSun" w:eastAsia="SimSun" w:hAnsi="SimSun" w:cs="SimSun"/>
        </w:rPr>
        <w:t>加分</w:t>
      </w:r>
      <w:r>
        <w:rPr>
          <w:rFonts w:ascii="Times New Roman" w:eastAsia="Times New Roman" w:hAnsi="Times New Roman" w:cs="Times New Roman"/>
        </w:rPr>
        <w:t>”</w:t>
      </w:r>
      <w:r>
        <w:rPr>
          <w:rFonts w:ascii="SimSun" w:eastAsia="SimSun" w:hAnsi="SimSun" w:cs="SimSun"/>
        </w:rPr>
        <w:t>后的分数分配专业。对没有精确排名分数的省份，若考生高考实考总分相同，则依据专业志愿次序分配专业，若高考实考总分、专业志愿次序均相同，则按照语文、数学、外语顺序优先为单科成绩高者分配专业。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江苏省考生，选测科目等级要求为</w:t>
      </w:r>
      <w:r>
        <w:rPr>
          <w:rFonts w:ascii="Times New Roman" w:eastAsia="Times New Roman" w:hAnsi="Times New Roman" w:cs="Times New Roman"/>
        </w:rPr>
        <w:t>B</w:t>
      </w:r>
      <w:r>
        <w:rPr>
          <w:rFonts w:ascii="SimSun" w:eastAsia="SimSun" w:hAnsi="SimSun" w:cs="SimSun"/>
        </w:rPr>
        <w:t>（含）以上，必测科目等级为</w:t>
      </w:r>
      <w:r>
        <w:rPr>
          <w:rFonts w:ascii="Times New Roman" w:eastAsia="Times New Roman" w:hAnsi="Times New Roman" w:cs="Times New Roman"/>
        </w:rPr>
        <w:t>C</w:t>
      </w:r>
      <w:r>
        <w:rPr>
          <w:rFonts w:ascii="SimSun" w:eastAsia="SimSun" w:hAnsi="SimSun" w:cs="SimSun"/>
        </w:rPr>
        <w:t>（含）以上，技术科目合格。确定考生录取专业时，对</w:t>
      </w:r>
      <w:r>
        <w:rPr>
          <w:rFonts w:ascii="Times New Roman" w:eastAsia="Times New Roman" w:hAnsi="Times New Roman" w:cs="Times New Roman"/>
        </w:rPr>
        <w:t>“</w:t>
      </w:r>
      <w:r>
        <w:rPr>
          <w:rFonts w:ascii="SimSun" w:eastAsia="SimSun" w:hAnsi="SimSun" w:cs="SimSun"/>
        </w:rPr>
        <w:t>选测</w:t>
      </w:r>
      <w:r>
        <w:rPr>
          <w:rFonts w:ascii="Times New Roman" w:eastAsia="Times New Roman" w:hAnsi="Times New Roman" w:cs="Times New Roman"/>
        </w:rPr>
        <w:t>”</w:t>
      </w:r>
      <w:r>
        <w:rPr>
          <w:rFonts w:ascii="SimSun" w:eastAsia="SimSun" w:hAnsi="SimSun" w:cs="SimSun"/>
        </w:rPr>
        <w:t>科目历史（文史类）和物理（理工类）等级为</w:t>
      </w:r>
      <w:r>
        <w:rPr>
          <w:rFonts w:ascii="Times New Roman" w:eastAsia="Times New Roman" w:hAnsi="Times New Roman" w:cs="Times New Roman"/>
        </w:rPr>
        <w:t>A+</w:t>
      </w:r>
      <w:r>
        <w:rPr>
          <w:rFonts w:ascii="SimSun" w:eastAsia="SimSun" w:hAnsi="SimSun" w:cs="SimSun"/>
        </w:rPr>
        <w:t>的考生加</w:t>
      </w:r>
      <w:r>
        <w:rPr>
          <w:rFonts w:ascii="Times New Roman" w:eastAsia="Times New Roman" w:hAnsi="Times New Roman" w:cs="Times New Roman"/>
        </w:rPr>
        <w:t>6</w:t>
      </w:r>
      <w:r>
        <w:rPr>
          <w:rFonts w:ascii="SimSun" w:eastAsia="SimSun" w:hAnsi="SimSun" w:cs="SimSun"/>
        </w:rPr>
        <w:t>分，等级为</w:t>
      </w:r>
      <w:r>
        <w:rPr>
          <w:rFonts w:ascii="Times New Roman" w:eastAsia="Times New Roman" w:hAnsi="Times New Roman" w:cs="Times New Roman"/>
        </w:rPr>
        <w:t>A</w:t>
      </w:r>
      <w:r>
        <w:rPr>
          <w:rFonts w:ascii="SimSun" w:eastAsia="SimSun" w:hAnsi="SimSun" w:cs="SimSun"/>
        </w:rPr>
        <w:t>的考生加</w:t>
      </w:r>
      <w:r>
        <w:rPr>
          <w:rFonts w:ascii="Times New Roman" w:eastAsia="Times New Roman" w:hAnsi="Times New Roman" w:cs="Times New Roman"/>
        </w:rPr>
        <w:t>2</w:t>
      </w:r>
      <w:r>
        <w:rPr>
          <w:rFonts w:ascii="SimSun" w:eastAsia="SimSun" w:hAnsi="SimSun" w:cs="SimSun"/>
        </w:rPr>
        <w:t>分，等级为</w:t>
      </w:r>
      <w:r>
        <w:rPr>
          <w:rFonts w:ascii="Times New Roman" w:eastAsia="Times New Roman" w:hAnsi="Times New Roman" w:cs="Times New Roman"/>
        </w:rPr>
        <w:t>B+</w:t>
      </w:r>
      <w:r>
        <w:rPr>
          <w:rFonts w:ascii="SimSun" w:eastAsia="SimSun" w:hAnsi="SimSun" w:cs="SimSun"/>
        </w:rPr>
        <w:t>考生加</w:t>
      </w:r>
      <w:r>
        <w:rPr>
          <w:rFonts w:ascii="Times New Roman" w:eastAsia="Times New Roman" w:hAnsi="Times New Roman" w:cs="Times New Roman"/>
        </w:rPr>
        <w:t>1</w:t>
      </w:r>
      <w:r>
        <w:rPr>
          <w:rFonts w:ascii="SimSun" w:eastAsia="SimSun" w:hAnsi="SimSun" w:cs="SimSun"/>
        </w:rPr>
        <w:t>分，另外一门选测科目等级达</w:t>
      </w:r>
      <w:r>
        <w:rPr>
          <w:rFonts w:ascii="Times New Roman" w:eastAsia="Times New Roman" w:hAnsi="Times New Roman" w:cs="Times New Roman"/>
        </w:rPr>
        <w:t>A+</w:t>
      </w:r>
      <w:r>
        <w:rPr>
          <w:rFonts w:ascii="SimSun" w:eastAsia="SimSun" w:hAnsi="SimSun" w:cs="SimSun"/>
        </w:rPr>
        <w:t>的考生加</w:t>
      </w:r>
      <w:r>
        <w:rPr>
          <w:rFonts w:ascii="Times New Roman" w:eastAsia="Times New Roman" w:hAnsi="Times New Roman" w:cs="Times New Roman"/>
        </w:rPr>
        <w:t>3</w:t>
      </w:r>
      <w:r>
        <w:rPr>
          <w:rFonts w:ascii="SimSun" w:eastAsia="SimSun" w:hAnsi="SimSun" w:cs="SimSun"/>
        </w:rPr>
        <w:t>分。按第十条内容为考生分配专业。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若考生填报专业志愿不能满足，又不服从专业调剂，学校将做退档处理。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英语、商务英语专业只招英语考生，计算机科学与技术（中加）、计算机科学与技术、软件工程、信息与计算科学、物联网工程因专业培养要求，非英语语种考生应慎重报考。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男女比例要求，采矿工程、安全工程因行业限制只招男生，其余各专业不限制男女生比例。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建筑学，城乡规划学制五年，其它专业学制四年。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设立包括国家奖学金、国家励志奖学金等多项奖学金奖励品学兼优的学生；同时，通过帮助申请国家助学贷款、国家助学金、提供勤工助学岗位、发放多种困难补助等措施帮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学校根据黑龙江省物价局、黑龙江省财政厅下发的文件中的有关规定收取学费。学费、住宿费等信息可登录黑龙江科技大学本科招生信息网查询。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在学校规定的修业年限内，学生修完教育教学计划规定内容，德、智、体达到毕业要求，由学校颁发黑龙江科技大学毕业证书，符合学士学位授予规定的，授予黑龙江科技大学学士学位。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学校严格贯彻、执行国家教育部、黑龙江省教育厅的有关招生政策。对在招生工作中违反招生工作程序和纪律、徇私舞弊的单位及个人进行严肃处理。违法者移交司法机关。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学校通过黑龙江科技大学招生与就业信息网及时公布有关招生信息和各省录取结果，考生可随时上网查询。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黑龙江科技大学本科招生信息网网址：</w:t>
      </w:r>
      <w:r>
        <w:rPr>
          <w:rFonts w:ascii="Times New Roman" w:eastAsia="Times New Roman" w:hAnsi="Times New Roman" w:cs="Times New Roman"/>
        </w:rPr>
        <w:t xml:space="preserve">http://zs.usth.net.cn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hkd88033300@163.com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0451</w:t>
      </w:r>
      <w:r>
        <w:rPr>
          <w:rFonts w:ascii="SimSun" w:eastAsia="SimSun" w:hAnsi="SimSun" w:cs="SimSun"/>
        </w:rPr>
        <w:t>－</w:t>
      </w:r>
      <w:r>
        <w:rPr>
          <w:rFonts w:ascii="Times New Roman" w:eastAsia="Times New Roman" w:hAnsi="Times New Roman" w:cs="Times New Roman"/>
        </w:rPr>
        <w:t>88033300</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http://www.usth.net.cn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本章程自发布之日起生效执行。学校以往有关招生工作的要求、规定如与本章程冲突，以本章程为准，并即时废止以往有关规定。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本章程由黑龙江科技大学招生与就业工作处负责解释。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哈尔滨理工大学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佳木斯大学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黑龙江冰雪体育职业学院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齐齐哈尔医学院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年哈尔滨体育学院招生章程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年齐齐哈尔高等师范专科学校招生章程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7.html" TargetMode="External" /><Relationship Id="rId11" Type="http://schemas.openxmlformats.org/officeDocument/2006/relationships/hyperlink" Target="http://www.gk114.com/a/gxzs/zszc/hlj/2019/0627/10296.html" TargetMode="External" /><Relationship Id="rId12" Type="http://schemas.openxmlformats.org/officeDocument/2006/relationships/hyperlink" Target="http://www.gk114.com/a/gxzs/zszc/hlj/2019/0627/10289.html" TargetMode="External" /><Relationship Id="rId13" Type="http://schemas.openxmlformats.org/officeDocument/2006/relationships/hyperlink" Target="http://www.gk114.com/a/gxzs/zszc/hlj/2019/0221/6566.html" TargetMode="External" /><Relationship Id="rId14" Type="http://schemas.openxmlformats.org/officeDocument/2006/relationships/hyperlink" Target="http://www.gk114.com/a/gxzs/zszc/hlj/2019/0221/6565.html" TargetMode="External" /><Relationship Id="rId15" Type="http://schemas.openxmlformats.org/officeDocument/2006/relationships/hyperlink" Target="http://www.gk114.com/a/gxzs/zszc/hlj/2019/0221/6563.html" TargetMode="External" /><Relationship Id="rId16" Type="http://schemas.openxmlformats.org/officeDocument/2006/relationships/hyperlink" Target="http://www.gk114.com/a/gxzs/zszc/hlj/2019/0221/6562.html" TargetMode="External" /><Relationship Id="rId17" Type="http://schemas.openxmlformats.org/officeDocument/2006/relationships/hyperlink" Target="http://www.gk114.com/a/gxzs/zszc/hlj/2022/0404/2206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lj/2019/0221/6531.html" TargetMode="External" /><Relationship Id="rId5" Type="http://schemas.openxmlformats.org/officeDocument/2006/relationships/hyperlink" Target="http://www.gk114.com/a/gxzs/zszc/hlj/2019/0221/6533.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58.html" TargetMode="External" /><Relationship Id="rId8" Type="http://schemas.openxmlformats.org/officeDocument/2006/relationships/hyperlink" Target="http://www.gk114.com/a/gxzs/zszc/hlj/2019/0627/10299.html" TargetMode="External" /><Relationship Id="rId9" Type="http://schemas.openxmlformats.org/officeDocument/2006/relationships/hyperlink" Target="http://www.gk114.com/a/gxzs/zszc/hlj/2019/0627/102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