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2019</w:t>
      </w:r>
      <w:r>
        <w:rPr>
          <w:rFonts w:ascii="SimSun" w:eastAsia="SimSun" w:hAnsi="SimSun" w:cs="SimSun"/>
          <w:kern w:val="36"/>
          <w:sz w:val="48"/>
          <w:szCs w:val="48"/>
        </w:rPr>
        <w:t>年上海建桥学院招生章程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2019-06-30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tbl>
      <w:tblPr>
        <w:tblW w:w="14310"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
      <w:tblGrid>
        <w:gridCol w:w="4564"/>
        <w:gridCol w:w="12"/>
        <w:gridCol w:w="1427"/>
        <w:gridCol w:w="25677"/>
      </w:tblGrid>
      <w:tr>
        <w:tblPrEx>
          <w:tblW w:w="14310"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Ex>
        <w:trPr>
          <w:trHeight w:val="540"/>
        </w:trPr>
        <w:tc>
          <w:tcPr>
            <w:tcW w:w="10665" w:type="dxa"/>
            <w:gridSpan w:val="4"/>
            <w:tcBorders>
              <w:bottom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75" w:lineRule="atLeast"/>
              <w:ind w:left="0" w:right="0" w:firstLine="555"/>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000000"/>
                <w:sz w:val="29"/>
                <w:szCs w:val="29"/>
              </w:rPr>
              <w:t>2019</w:t>
            </w:r>
            <w:r>
              <w:rPr>
                <w:rFonts w:ascii="楷体_GB2312" w:eastAsia="楷体_GB2312" w:hAnsi="楷体_GB2312" w:cs="楷体_GB2312"/>
                <w:b w:val="0"/>
                <w:bCs w:val="0"/>
                <w:i w:val="0"/>
                <w:iCs w:val="0"/>
                <w:smallCaps w:val="0"/>
                <w:color w:val="000000"/>
                <w:sz w:val="29"/>
                <w:szCs w:val="29"/>
              </w:rPr>
              <w:t>年上海市普通高等学校全国统考招生章程</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000000"/>
                <w:sz w:val="29"/>
                <w:szCs w:val="29"/>
              </w:rPr>
              <w:t>（秋季统一高考）</w:t>
            </w:r>
          </w:p>
        </w:tc>
      </w:tr>
      <w:tr>
        <w:tblPrEx>
          <w:tblW w:w="14310" w:type="dxa"/>
          <w:tblInd w:w="165" w:type="dxa"/>
          <w:tblCellMar>
            <w:top w:w="0" w:type="dxa"/>
            <w:left w:w="0" w:type="dxa"/>
            <w:bottom w:w="0" w:type="dxa"/>
            <w:right w:w="0" w:type="dxa"/>
          </w:tblCellMar>
        </w:tblPrEx>
        <w:trPr>
          <w:trHeight w:val="540"/>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000000"/>
                <w:sz w:val="29"/>
                <w:szCs w:val="29"/>
              </w:rPr>
              <w:t>一、院校全称</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上海建桥学院</w:t>
            </w:r>
          </w:p>
        </w:tc>
      </w:tr>
      <w:tr>
        <w:tblPrEx>
          <w:tblW w:w="14310" w:type="dxa"/>
          <w:tblInd w:w="165" w:type="dxa"/>
          <w:tblCellMar>
            <w:top w:w="0" w:type="dxa"/>
            <w:left w:w="0" w:type="dxa"/>
            <w:bottom w:w="0" w:type="dxa"/>
            <w:right w:w="0" w:type="dxa"/>
          </w:tblCellMar>
        </w:tblPrEx>
        <w:trPr>
          <w:trHeight w:val="960"/>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000000"/>
                <w:sz w:val="29"/>
                <w:szCs w:val="29"/>
              </w:rPr>
              <w:t>二、就读校址</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校本部地址为上海市浦东新区沪城环路1111号。</w:t>
            </w:r>
          </w:p>
        </w:tc>
      </w:tr>
      <w:tr>
        <w:tblPrEx>
          <w:tblW w:w="14310" w:type="dxa"/>
          <w:tblInd w:w="165" w:type="dxa"/>
          <w:tblCellMar>
            <w:top w:w="0" w:type="dxa"/>
            <w:left w:w="0" w:type="dxa"/>
            <w:bottom w:w="0" w:type="dxa"/>
            <w:right w:w="0" w:type="dxa"/>
          </w:tblCellMar>
        </w:tblPrEx>
        <w:trPr>
          <w:trHeight w:val="675"/>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000000"/>
                <w:sz w:val="29"/>
                <w:szCs w:val="29"/>
              </w:rPr>
              <w:t>三、招生层次</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Webdings" w:eastAsia="Webdings" w:hAnsi="Webdings" w:cs="Webdings"/>
                <w:b w:val="0"/>
                <w:bCs w:val="0"/>
                <w:i w:val="0"/>
                <w:iCs w:val="0"/>
                <w:smallCaps w:val="0"/>
                <w:color w:val="000000"/>
                <w:sz w:val="36"/>
                <w:szCs w:val="36"/>
              </w:rPr>
              <w:t>&lt;</w:t>
            </w:r>
            <w:r>
              <w:rPr>
                <w:rFonts w:ascii="FangSong" w:eastAsia="FangSong" w:hAnsi="FangSong" w:cs="FangSong"/>
                <w:b w:val="0"/>
                <w:bCs w:val="0"/>
                <w:i w:val="0"/>
                <w:iCs w:val="0"/>
                <w:smallCaps w:val="0"/>
                <w:color w:val="000000"/>
                <w:sz w:val="29"/>
                <w:szCs w:val="29"/>
              </w:rPr>
              <w:t>本科</w:t>
            </w:r>
            <w:r>
              <w:rPr>
                <w:rFonts w:ascii="Calibri" w:eastAsia="Calibri" w:hAnsi="Calibri" w:cs="Calibri"/>
                <w:b w:val="0"/>
                <w:bCs w:val="0"/>
                <w:i w:val="0"/>
                <w:iCs w:val="0"/>
                <w:smallCaps w:val="0"/>
                <w:color w:val="000000"/>
                <w:sz w:val="29"/>
                <w:szCs w:val="29"/>
              </w:rPr>
              <w:t>  </w:t>
            </w:r>
            <w:r>
              <w:rPr>
                <w:rFonts w:ascii="Webdings" w:eastAsia="Webdings" w:hAnsi="Webdings" w:cs="Webdings"/>
                <w:b w:val="0"/>
                <w:bCs w:val="0"/>
                <w:i w:val="0"/>
                <w:iCs w:val="0"/>
                <w:smallCaps w:val="0"/>
                <w:color w:val="000000"/>
                <w:sz w:val="36"/>
                <w:szCs w:val="36"/>
              </w:rPr>
              <w:t>&lt;</w:t>
            </w:r>
            <w:r>
              <w:rPr>
                <w:rFonts w:ascii="FangSong" w:eastAsia="FangSong" w:hAnsi="FangSong" w:cs="FangSong"/>
                <w:b w:val="0"/>
                <w:bCs w:val="0"/>
                <w:i w:val="0"/>
                <w:iCs w:val="0"/>
                <w:smallCaps w:val="0"/>
                <w:color w:val="000000"/>
                <w:sz w:val="29"/>
                <w:szCs w:val="29"/>
              </w:rPr>
              <w:t>高职</w:t>
            </w:r>
            <w:r>
              <w:rPr>
                <w:rFonts w:ascii="Calibri" w:eastAsia="Calibri" w:hAnsi="Calibri" w:cs="Calibri"/>
                <w:b w:val="0"/>
                <w:bCs w:val="0"/>
                <w:i w:val="0"/>
                <w:iCs w:val="0"/>
                <w:smallCaps w:val="0"/>
                <w:color w:val="000000"/>
                <w:sz w:val="29"/>
                <w:szCs w:val="29"/>
              </w:rPr>
              <w:t> </w:t>
            </w:r>
            <w:r>
              <w:rPr>
                <w:rFonts w:ascii="FangSong" w:eastAsia="FangSong" w:hAnsi="FangSong" w:cs="FangSong"/>
                <w:b w:val="0"/>
                <w:bCs w:val="0"/>
                <w:i w:val="0"/>
                <w:iCs w:val="0"/>
                <w:smallCaps w:val="0"/>
                <w:color w:val="000000"/>
                <w:sz w:val="29"/>
                <w:szCs w:val="29"/>
              </w:rPr>
              <w:t xml:space="preserve"> □ 专科</w:t>
            </w:r>
          </w:p>
        </w:tc>
      </w:tr>
      <w:tr>
        <w:tblPrEx>
          <w:tblW w:w="14310" w:type="dxa"/>
          <w:tblInd w:w="165" w:type="dxa"/>
          <w:tblCellMar>
            <w:top w:w="0" w:type="dxa"/>
            <w:left w:w="0" w:type="dxa"/>
            <w:bottom w:w="0" w:type="dxa"/>
            <w:right w:w="0" w:type="dxa"/>
          </w:tblCellMar>
        </w:tblPrEx>
        <w:trPr>
          <w:trHeight w:val="1200"/>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000000"/>
                <w:sz w:val="29"/>
                <w:szCs w:val="29"/>
              </w:rPr>
              <w:t>四、办学类型</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Webdings" w:eastAsia="Webdings" w:hAnsi="Webdings" w:cs="Webdings"/>
                <w:b w:val="0"/>
                <w:bCs w:val="0"/>
                <w:i w:val="0"/>
                <w:iCs w:val="0"/>
                <w:smallCaps w:val="0"/>
                <w:color w:val="000000"/>
                <w:sz w:val="36"/>
                <w:szCs w:val="36"/>
              </w:rPr>
              <w:t>&lt;</w:t>
            </w:r>
            <w:r>
              <w:rPr>
                <w:rFonts w:ascii="FangSong" w:eastAsia="FangSong" w:hAnsi="FangSong" w:cs="FangSong"/>
                <w:b w:val="0"/>
                <w:bCs w:val="0"/>
                <w:i w:val="0"/>
                <w:iCs w:val="0"/>
                <w:smallCaps w:val="0"/>
                <w:color w:val="000000"/>
                <w:sz w:val="29"/>
                <w:szCs w:val="29"/>
              </w:rPr>
              <w:t>普通高等学校 □ 成人高等学校</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 公办高等学校</w:t>
            </w:r>
            <w:r>
              <w:rPr>
                <w:rFonts w:ascii="Calibri" w:eastAsia="Calibri" w:hAnsi="Calibri" w:cs="Calibri"/>
                <w:b w:val="0"/>
                <w:bCs w:val="0"/>
                <w:i w:val="0"/>
                <w:iCs w:val="0"/>
                <w:smallCaps w:val="0"/>
                <w:color w:val="000000"/>
                <w:sz w:val="29"/>
                <w:szCs w:val="29"/>
              </w:rPr>
              <w:t> </w:t>
            </w:r>
            <w:r>
              <w:rPr>
                <w:rFonts w:ascii="Webdings" w:eastAsia="Webdings" w:hAnsi="Webdings" w:cs="Webdings"/>
                <w:b w:val="0"/>
                <w:bCs w:val="0"/>
                <w:i w:val="0"/>
                <w:iCs w:val="0"/>
                <w:smallCaps w:val="0"/>
                <w:color w:val="000000"/>
                <w:sz w:val="36"/>
                <w:szCs w:val="36"/>
              </w:rPr>
              <w:t>&lt;</w:t>
            </w:r>
            <w:r>
              <w:rPr>
                <w:rFonts w:ascii="FangSong" w:eastAsia="FangSong" w:hAnsi="FangSong" w:cs="FangSong"/>
                <w:b w:val="0"/>
                <w:bCs w:val="0"/>
                <w:i w:val="0"/>
                <w:iCs w:val="0"/>
                <w:smallCaps w:val="0"/>
                <w:color w:val="000000"/>
                <w:sz w:val="29"/>
                <w:szCs w:val="29"/>
              </w:rPr>
              <w:t>民办高等学校 □ 独立学院</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 高等专科学校 □ 高等职业技术学校</w:t>
            </w:r>
          </w:p>
        </w:tc>
      </w:tr>
      <w:tr>
        <w:tblPrEx>
          <w:tblW w:w="14310" w:type="dxa"/>
          <w:tblInd w:w="165" w:type="dxa"/>
          <w:tblCellMar>
            <w:top w:w="0" w:type="dxa"/>
            <w:left w:w="0" w:type="dxa"/>
            <w:bottom w:w="0" w:type="dxa"/>
            <w:right w:w="0" w:type="dxa"/>
          </w:tblCellMar>
        </w:tblPrEx>
        <w:trPr>
          <w:trHeight w:val="660"/>
        </w:trPr>
        <w:tc>
          <w:tcPr>
            <w:tcW w:w="2025" w:type="dxa"/>
            <w:vMerge w:val="restart"/>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000000"/>
                <w:sz w:val="29"/>
                <w:szCs w:val="29"/>
              </w:rPr>
              <w:t>五、颁发学历证书的院校名称及证书种类</w:t>
            </w:r>
          </w:p>
        </w:tc>
        <w:tc>
          <w:tcPr>
            <w:tcW w:w="2000" w:type="dxa"/>
            <w:gridSpan w:val="2"/>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000000"/>
                <w:sz w:val="29"/>
                <w:szCs w:val="29"/>
              </w:rPr>
              <w:t>院校名称</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上海建桥学院</w:t>
            </w:r>
          </w:p>
        </w:tc>
      </w:tr>
      <w:tr>
        <w:tblPrEx>
          <w:tblW w:w="14310" w:type="dxa"/>
          <w:tblInd w:w="165" w:type="dxa"/>
          <w:tblCellMar>
            <w:top w:w="0" w:type="dxa"/>
            <w:left w:w="0" w:type="dxa"/>
            <w:bottom w:w="0" w:type="dxa"/>
            <w:right w:w="0" w:type="dxa"/>
          </w:tblCellMar>
        </w:tblPrEx>
        <w:trPr>
          <w:trHeight w:val="735"/>
        </w:trPr>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000000"/>
                <w:sz w:val="29"/>
                <w:szCs w:val="29"/>
              </w:rPr>
            </w:pPr>
          </w:p>
        </w:tc>
        <w:tc>
          <w:tcPr>
            <w:tcW w:w="2000" w:type="dxa"/>
            <w:gridSpan w:val="2"/>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000000"/>
                <w:sz w:val="29"/>
                <w:szCs w:val="29"/>
              </w:rPr>
              <w:t>证书种类</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修学期满，符合毕业要求，颁发上海建桥学院的本科/高职（专科）毕业证书。</w:t>
            </w:r>
          </w:p>
        </w:tc>
      </w:tr>
      <w:tr>
        <w:tblPrEx>
          <w:tblW w:w="14310" w:type="dxa"/>
          <w:tblInd w:w="165" w:type="dxa"/>
          <w:tblCellMar>
            <w:top w:w="0" w:type="dxa"/>
            <w:left w:w="0" w:type="dxa"/>
            <w:bottom w:w="0" w:type="dxa"/>
            <w:right w:w="0" w:type="dxa"/>
          </w:tblCellMar>
        </w:tblPrEx>
        <w:trPr>
          <w:trHeight w:val="1845"/>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000000"/>
                <w:sz w:val="29"/>
                <w:szCs w:val="29"/>
              </w:rPr>
              <w:t>六、院校招生管理机构</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上海建桥学院招生领导小组是我校招生工作的最高决策机构，统一领导学校招生工作；上海建桥学院招生办公室是我校组织和实施招生工作的常设机构，负责学校秋季统一招生的日常工作；上海建桥学院招生监察小组是我校招生工作纪检监察机构。</w:t>
            </w:r>
          </w:p>
        </w:tc>
      </w:tr>
      <w:tr>
        <w:tblPrEx>
          <w:tblW w:w="14310" w:type="dxa"/>
          <w:tblInd w:w="165" w:type="dxa"/>
          <w:tblCellMar>
            <w:top w:w="0" w:type="dxa"/>
            <w:left w:w="0" w:type="dxa"/>
            <w:bottom w:w="0" w:type="dxa"/>
            <w:right w:w="0" w:type="dxa"/>
          </w:tblCellMar>
        </w:tblPrEx>
        <w:trPr>
          <w:trHeight w:val="4260"/>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000000"/>
                <w:sz w:val="29"/>
                <w:szCs w:val="29"/>
              </w:rPr>
              <w:t>七、招生计划分配</w:t>
            </w:r>
          </w:p>
          <w:p>
            <w:pPr>
              <w:pBdr>
                <w:top w:val="none" w:sz="0" w:space="0" w:color="auto"/>
                <w:left w:val="none" w:sz="0" w:space="0" w:color="auto"/>
                <w:bottom w:val="none" w:sz="0" w:space="0" w:color="auto"/>
                <w:right w:val="none" w:sz="0" w:space="0" w:color="auto"/>
              </w:pBdr>
              <w:spacing w:before="0" w:after="0" w:line="420" w:lineRule="atLeast"/>
              <w:ind w:left="0" w:right="0" w:firstLine="51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000000"/>
                <w:sz w:val="29"/>
                <w:szCs w:val="29"/>
              </w:rPr>
              <w:t>的原则和办法</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一、我校依据上海市教育委员会核准的年度招生规模，结合学校发展定位与办学条件，统筹考虑近年分省分专业招生计划编制及使用情况，科学、合理地编制学校本年度分省分专业招生计划。</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二、各招生专业无男女比例限制。</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三、本年度我校分省分专业招生计划、高考改革省市选考科目要求等详见各省级招生主管部门（以下简称省招办）编印的2019年普通高等学校招生专业和计划相关文件。</w:t>
            </w:r>
          </w:p>
        </w:tc>
      </w:tr>
      <w:tr>
        <w:tblPrEx>
          <w:tblW w:w="14310" w:type="dxa"/>
          <w:tblInd w:w="165" w:type="dxa"/>
          <w:tblCellMar>
            <w:top w:w="0" w:type="dxa"/>
            <w:left w:w="0" w:type="dxa"/>
            <w:bottom w:w="0" w:type="dxa"/>
            <w:right w:w="0" w:type="dxa"/>
          </w:tblCellMar>
        </w:tblPrEx>
        <w:trPr>
          <w:trHeight w:val="1125"/>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000000"/>
                <w:sz w:val="29"/>
                <w:szCs w:val="29"/>
              </w:rPr>
              <w:t>八、预留计划数及使用办法</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本科招生计划的1%用于调节各地统考上线生源的不平衡。</w:t>
            </w:r>
          </w:p>
        </w:tc>
      </w:tr>
      <w:tr>
        <w:tblPrEx>
          <w:tblW w:w="14310" w:type="dxa"/>
          <w:tblInd w:w="165" w:type="dxa"/>
          <w:tblCellMar>
            <w:top w:w="0" w:type="dxa"/>
            <w:left w:w="0" w:type="dxa"/>
            <w:bottom w:w="0" w:type="dxa"/>
            <w:right w:w="0" w:type="dxa"/>
          </w:tblCellMar>
        </w:tblPrEx>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000000"/>
                <w:sz w:val="29"/>
                <w:szCs w:val="29"/>
              </w:rPr>
              <w:t>九、专业培养对入学外</w:t>
            </w:r>
          </w:p>
          <w:p>
            <w:pPr>
              <w:pBdr>
                <w:top w:val="none" w:sz="0" w:space="0" w:color="auto"/>
                <w:left w:val="none" w:sz="0" w:space="0" w:color="auto"/>
                <w:bottom w:val="none" w:sz="0" w:space="0" w:color="auto"/>
                <w:right w:val="none" w:sz="0" w:space="0" w:color="auto"/>
              </w:pBdr>
              <w:spacing w:before="0" w:after="0" w:line="420" w:lineRule="atLeast"/>
              <w:ind w:left="0" w:right="0" w:firstLine="51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000000"/>
                <w:sz w:val="29"/>
                <w:szCs w:val="29"/>
              </w:rPr>
              <w:t>语考试语种的要求</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入学外语考试语种不限。入学后，除网络工程(双语班)、日语、数字媒体艺术（动漫设计）、计算机应用技术（双语班）教学外语语种为日语，德语（商务）教学外语语种为德语外，我校其它专业教学外语语种均为英语。</w:t>
            </w:r>
          </w:p>
        </w:tc>
      </w:tr>
      <w:tr>
        <w:tblPrEx>
          <w:tblW w:w="14310" w:type="dxa"/>
          <w:tblInd w:w="165" w:type="dxa"/>
          <w:tblCellMar>
            <w:top w:w="0" w:type="dxa"/>
            <w:left w:w="0" w:type="dxa"/>
            <w:bottom w:w="0" w:type="dxa"/>
            <w:right w:w="0" w:type="dxa"/>
          </w:tblCellMar>
        </w:tblPrEx>
        <w:trPr>
          <w:trHeight w:val="2835"/>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000000"/>
                <w:sz w:val="29"/>
                <w:szCs w:val="29"/>
              </w:rPr>
              <w:t>十、身体健康状况要求</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以教育部、卫生部和中国残疾人联合会印发的《普通高等学校招生体检工作指导意见》（教学〔2003〕3号）及有关补充规定为依据，考生须据实上报健康状况。经复查，身体健康状况不符合专业学习要求的考生，学校将按照教育部《普通高等学校学生管理规定》和本校学籍管理相关规定处理。</w:t>
            </w:r>
          </w:p>
        </w:tc>
      </w:tr>
      <w:tr>
        <w:tblPrEx>
          <w:tblW w:w="14310" w:type="dxa"/>
          <w:tblInd w:w="165" w:type="dxa"/>
          <w:tblCellMar>
            <w:top w:w="0" w:type="dxa"/>
            <w:left w:w="0" w:type="dxa"/>
            <w:bottom w:w="0" w:type="dxa"/>
            <w:right w:w="0" w:type="dxa"/>
          </w:tblCellMar>
        </w:tblPrEx>
        <w:trPr>
          <w:trHeight w:val="1155"/>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000000"/>
                <w:sz w:val="29"/>
                <w:szCs w:val="29"/>
              </w:rPr>
              <w:t>十一、加分政策</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我校认可教育部和各省级招办根据教育部相关规定给予考生的全国性加分政策。我校原则上认可考生具备的所有加分项中最高分一项，且最高不超过20分。</w:t>
            </w:r>
          </w:p>
        </w:tc>
      </w:tr>
      <w:tr>
        <w:tblPrEx>
          <w:tblW w:w="14310" w:type="dxa"/>
          <w:tblInd w:w="165" w:type="dxa"/>
          <w:tblCellMar>
            <w:top w:w="0" w:type="dxa"/>
            <w:left w:w="0" w:type="dxa"/>
            <w:bottom w:w="0" w:type="dxa"/>
            <w:right w:w="0" w:type="dxa"/>
          </w:tblCellMar>
        </w:tblPrEx>
        <w:trPr>
          <w:trHeight w:val="6660"/>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000000"/>
                <w:sz w:val="29"/>
                <w:szCs w:val="29"/>
              </w:rPr>
              <w:t>十二、录取规则</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一、依据普通高等学校招生全国统一考试（秋季统一考试）成绩录取的规则：</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1.</w:t>
            </w:r>
            <w:r>
              <w:rPr>
                <w:rFonts w:ascii="Calibri" w:eastAsia="Calibri" w:hAnsi="Calibri" w:cs="Calibri"/>
                <w:b w:val="0"/>
                <w:bCs w:val="0"/>
                <w:i w:val="0"/>
                <w:iCs w:val="0"/>
                <w:smallCaps w:val="0"/>
                <w:color w:val="000000"/>
                <w:sz w:val="29"/>
                <w:szCs w:val="29"/>
              </w:rPr>
              <w:t> </w:t>
            </w:r>
            <w:r>
              <w:rPr>
                <w:rFonts w:ascii="FangSong" w:eastAsia="FangSong" w:hAnsi="FangSong" w:cs="FangSong"/>
                <w:b w:val="0"/>
                <w:bCs w:val="0"/>
                <w:i w:val="0"/>
                <w:iCs w:val="0"/>
                <w:smallCaps w:val="0"/>
                <w:color w:val="000000"/>
                <w:sz w:val="29"/>
                <w:szCs w:val="29"/>
              </w:rPr>
              <w:t>省招办按我校在当地的招生计划数和投档比例将第一志愿报考我校的生源从高分到低分（含加分）进行投档。具体的投档比例由我校根据各省市实际生源情况确定，原则上投档比例不超过120%。按照平行志愿投档的批次，原则上投档比例不超过105%。</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2.</w:t>
            </w:r>
            <w:r>
              <w:rPr>
                <w:rFonts w:ascii="Calibri" w:eastAsia="Calibri" w:hAnsi="Calibri" w:cs="Calibri"/>
                <w:b w:val="0"/>
                <w:bCs w:val="0"/>
                <w:i w:val="0"/>
                <w:iCs w:val="0"/>
                <w:smallCaps w:val="0"/>
                <w:color w:val="000000"/>
                <w:sz w:val="29"/>
                <w:szCs w:val="29"/>
              </w:rPr>
              <w:t> </w:t>
            </w:r>
            <w:r>
              <w:rPr>
                <w:rFonts w:ascii="FangSong" w:eastAsia="FangSong" w:hAnsi="FangSong" w:cs="FangSong"/>
                <w:b w:val="0"/>
                <w:bCs w:val="0"/>
                <w:i w:val="0"/>
                <w:iCs w:val="0"/>
                <w:smallCaps w:val="0"/>
                <w:color w:val="000000"/>
                <w:sz w:val="29"/>
                <w:szCs w:val="29"/>
              </w:rPr>
              <w:t>录取过程中无志愿级差分。</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3.</w:t>
            </w:r>
            <w:r>
              <w:rPr>
                <w:rFonts w:ascii="Calibri" w:eastAsia="Calibri" w:hAnsi="Calibri" w:cs="Calibri"/>
                <w:b w:val="0"/>
                <w:bCs w:val="0"/>
                <w:i w:val="0"/>
                <w:iCs w:val="0"/>
                <w:smallCaps w:val="0"/>
                <w:color w:val="000000"/>
                <w:sz w:val="29"/>
                <w:szCs w:val="29"/>
              </w:rPr>
              <w:t> </w:t>
            </w:r>
            <w:r>
              <w:rPr>
                <w:rFonts w:ascii="FangSong" w:eastAsia="FangSong" w:hAnsi="FangSong" w:cs="FangSong"/>
                <w:b w:val="0"/>
                <w:bCs w:val="0"/>
                <w:i w:val="0"/>
                <w:iCs w:val="0"/>
                <w:smallCaps w:val="0"/>
                <w:color w:val="000000"/>
                <w:sz w:val="29"/>
                <w:szCs w:val="29"/>
              </w:rPr>
              <w:t>非艺术类专业录取时，所有专业按投档成绩从高分到低分录取，其中对第一专业志愿，按志愿优先原则予以录取，从第二专业志愿开始，按分数优先原则进行录取。</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4.</w:t>
            </w:r>
            <w:r>
              <w:rPr>
                <w:rFonts w:ascii="Calibri" w:eastAsia="Calibri" w:hAnsi="Calibri" w:cs="Calibri"/>
                <w:b w:val="0"/>
                <w:bCs w:val="0"/>
                <w:i w:val="0"/>
                <w:iCs w:val="0"/>
                <w:smallCaps w:val="0"/>
                <w:color w:val="000000"/>
                <w:sz w:val="29"/>
                <w:szCs w:val="29"/>
              </w:rPr>
              <w:t> </w:t>
            </w:r>
            <w:r>
              <w:rPr>
                <w:rFonts w:ascii="FangSong" w:eastAsia="FangSong" w:hAnsi="FangSong" w:cs="FangSong"/>
                <w:b w:val="0"/>
                <w:bCs w:val="0"/>
                <w:i w:val="0"/>
                <w:iCs w:val="0"/>
                <w:smallCaps w:val="0"/>
                <w:color w:val="000000"/>
                <w:sz w:val="29"/>
                <w:szCs w:val="29"/>
              </w:rPr>
              <w:t>外省市艺术类专业考生录取时，学校直接使用省美术类统考成绩，不再组织校考。报考艺术类专业的考生必须参加省级招办（考试机构）统一组织的美术类专业考试，并达到专业统考最低合格要求。江西省艺术类专业录取时，在达到省艺术统考二本专业合格线和艺术类本科文化控制线的考生中,依据专业成绩从高分到低分，按志愿择优录取</w:t>
            </w:r>
            <w:r>
              <w:rPr>
                <w:rFonts w:ascii="SimSun" w:eastAsia="SimSun" w:hAnsi="SimSun" w:cs="SimSun"/>
                <w:b w:val="0"/>
                <w:bCs w:val="0"/>
                <w:i w:val="0"/>
                <w:iCs w:val="0"/>
                <w:smallCaps w:val="0"/>
                <w:color w:val="000000"/>
              </w:rPr>
              <w:t>。</w:t>
            </w:r>
            <w:r>
              <w:rPr>
                <w:rFonts w:ascii="FangSong" w:eastAsia="FangSong" w:hAnsi="FangSong" w:cs="FangSong"/>
                <w:b w:val="0"/>
                <w:bCs w:val="0"/>
                <w:i w:val="0"/>
                <w:iCs w:val="0"/>
                <w:smallCaps w:val="0"/>
                <w:color w:val="000000"/>
                <w:sz w:val="29"/>
                <w:szCs w:val="29"/>
              </w:rPr>
              <w:t>其他外省市均按本省投档成绩从高分到低分择优录取。</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5.</w:t>
            </w:r>
            <w:r>
              <w:rPr>
                <w:rFonts w:ascii="Calibri" w:eastAsia="Calibri" w:hAnsi="Calibri" w:cs="Calibri"/>
                <w:b w:val="0"/>
                <w:bCs w:val="0"/>
                <w:i w:val="0"/>
                <w:iCs w:val="0"/>
                <w:smallCaps w:val="0"/>
                <w:color w:val="000000"/>
                <w:sz w:val="29"/>
                <w:szCs w:val="29"/>
              </w:rPr>
              <w:t> </w:t>
            </w:r>
            <w:r>
              <w:rPr>
                <w:rFonts w:ascii="FangSong" w:eastAsia="FangSong" w:hAnsi="FangSong" w:cs="FangSong"/>
                <w:b w:val="0"/>
                <w:bCs w:val="0"/>
                <w:i w:val="0"/>
                <w:iCs w:val="0"/>
                <w:smallCaps w:val="0"/>
                <w:color w:val="000000"/>
                <w:sz w:val="29"/>
                <w:szCs w:val="29"/>
              </w:rPr>
              <w:t>上海艺术类专业考生录取时，第一志愿报考我校，美术类专业市统考成绩达365分（含365分）以上、文化成绩达到上海市艺术类本科最低控制分数线以上，可直接录取；剩余计划按艺术综合成绩划定最低录取资格线。专业志愿录取时，所有考生根据专业志愿优先原则，按艺术综合成绩从高分到低分排序，确定录取专业。</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艺术综合成绩＝专业统考满分÷高考文化满分×高考文化成绩＋专业统考成绩。</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6</w:t>
            </w:r>
            <w:r>
              <w:rPr>
                <w:rFonts w:ascii="FangSong" w:eastAsia="FangSong" w:hAnsi="FangSong" w:cs="FangSong"/>
                <w:b w:val="0"/>
                <w:bCs w:val="0"/>
                <w:i w:val="0"/>
                <w:iCs w:val="0"/>
                <w:smallCaps w:val="0"/>
                <w:color w:val="000000"/>
                <w:sz w:val="29"/>
                <w:szCs w:val="29"/>
              </w:rPr>
              <w:t>．艺术类专业考生同分时按美术统考总分、文化统考总分、语文、数学、英语成绩从高到低排序录取;非艺术类专业同分考生均按各省市提供的投档排序规则录取。上海考生，在各科文化考试成绩都相同的情况下，再参考综合素质评价信息择优录取。</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7.</w:t>
            </w:r>
            <w:r>
              <w:rPr>
                <w:rFonts w:ascii="Calibri" w:eastAsia="Calibri" w:hAnsi="Calibri" w:cs="Calibri"/>
                <w:b w:val="0"/>
                <w:bCs w:val="0"/>
                <w:i w:val="0"/>
                <w:iCs w:val="0"/>
                <w:smallCaps w:val="0"/>
                <w:color w:val="000000"/>
                <w:sz w:val="29"/>
                <w:szCs w:val="29"/>
              </w:rPr>
              <w:t> </w:t>
            </w:r>
            <w:r>
              <w:rPr>
                <w:rFonts w:ascii="FangSong" w:eastAsia="FangSong" w:hAnsi="FangSong" w:cs="FangSong"/>
                <w:b w:val="0"/>
                <w:bCs w:val="0"/>
                <w:i w:val="0"/>
                <w:iCs w:val="0"/>
                <w:smallCaps w:val="0"/>
                <w:color w:val="000000"/>
                <w:sz w:val="29"/>
                <w:szCs w:val="29"/>
              </w:rPr>
              <w:t>政策性加分在专业录取时计入文化成绩总分。</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8.</w:t>
            </w:r>
            <w:r>
              <w:rPr>
                <w:rFonts w:ascii="Calibri" w:eastAsia="Calibri" w:hAnsi="Calibri" w:cs="Calibri"/>
                <w:b w:val="0"/>
                <w:bCs w:val="0"/>
                <w:i w:val="0"/>
                <w:iCs w:val="0"/>
                <w:smallCaps w:val="0"/>
                <w:color w:val="000000"/>
                <w:sz w:val="29"/>
                <w:szCs w:val="29"/>
              </w:rPr>
              <w:t> </w:t>
            </w:r>
            <w:r>
              <w:rPr>
                <w:rFonts w:ascii="FangSong" w:eastAsia="FangSong" w:hAnsi="FangSong" w:cs="FangSong"/>
                <w:b w:val="0"/>
                <w:bCs w:val="0"/>
                <w:i w:val="0"/>
                <w:iCs w:val="0"/>
                <w:smallCaps w:val="0"/>
                <w:color w:val="000000"/>
                <w:sz w:val="29"/>
                <w:szCs w:val="29"/>
              </w:rPr>
              <w:t>对达到我校最低录取分数线但未被所填报的专业志愿录取、且愿意服从所有专业调剂的考生作调剂录取;如不服从专业调剂，则退档。</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二、第一志愿生源不足时，省招办可在同批次录取控制分数线上，按非第一志愿考生（包括征集志愿）人数不超过招生计划剩余数的100%进行投档；若生源仍不足，我校可以将剩余的招生计划调配至生源充足的省市安排录取。</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三、高考改革有关省市的录取规则和程序以省招办规定为准。</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四、在江苏省，报考我校本科批次考生的学业水平测试两门选测科目的成绩等第须达到CC。</w:t>
            </w:r>
          </w:p>
        </w:tc>
      </w:tr>
      <w:tr>
        <w:tblPrEx>
          <w:tblW w:w="14310" w:type="dxa"/>
          <w:tblInd w:w="165" w:type="dxa"/>
          <w:tblCellMar>
            <w:top w:w="0" w:type="dxa"/>
            <w:left w:w="0" w:type="dxa"/>
            <w:bottom w:w="0" w:type="dxa"/>
            <w:right w:w="0" w:type="dxa"/>
          </w:tblCellMar>
        </w:tblPrEx>
        <w:trPr>
          <w:trHeight w:val="990"/>
        </w:trPr>
        <w:tc>
          <w:tcPr>
            <w:tcW w:w="2220" w:type="dxa"/>
            <w:gridSpan w:val="2"/>
            <w:vMerge w:val="restart"/>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000000"/>
                <w:sz w:val="29"/>
                <w:szCs w:val="29"/>
              </w:rPr>
              <w:t>十三、收费标准</w:t>
            </w:r>
          </w:p>
        </w:tc>
        <w:tc>
          <w:tcPr>
            <w:tcW w:w="18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000000"/>
                <w:sz w:val="29"/>
                <w:szCs w:val="29"/>
              </w:rPr>
              <w:t>学费标准</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学校收费实行按学分制收费管理办法（沪教委财〔2005〕49号文件）</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本科教育：</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一般非艺术类专业23000元/年；</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一般艺术类专业27000元/年；</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机械设计制作及其自动化（中美合作）专业45000元/年；</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数字媒体技术（双语班）专业58000元/年；</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电子科学与技术（电子智能技术）、汽车服务工程（汽车智能技术）、会计学（CPA注册会计师）、会计学（iBA企业会计师）、新闻学（全媒体采编与制作）、新闻学（双语班）、计算机科学与技术（双语班）、计算机科学与技术（智能应用）、数字媒体技术（虚拟现实与交互技术）、网络工程（双语班）、数字媒体艺术（动漫设计）、数字媒体技术（设计）、日语、德语（商务）、英语（商务）、宝石及材料工艺学（珠宝商务）、工商管理（奢侈品管理）、护理学、学前教育专业30000元/年；</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国际设计学院数字媒体技术（全英语教学）、视觉传达设计（全英语教学）专业80000元/年；</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（沪教委民〔2015〕4号文件）(收费标准由民办院校自主确定)</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高职教育：</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空中乘务专业18000元/年；其它专业15000元/年；</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（沪教委民〔2015〕4号文件）(收费标准由民办院校自主确定)</w:t>
            </w:r>
          </w:p>
        </w:tc>
      </w:tr>
      <w:tr>
        <w:tblPrEx>
          <w:tblW w:w="14310" w:type="dxa"/>
          <w:tblInd w:w="165" w:type="dxa"/>
          <w:tblCellMar>
            <w:top w:w="0" w:type="dxa"/>
            <w:left w:w="0" w:type="dxa"/>
            <w:bottom w:w="0" w:type="dxa"/>
            <w:right w:w="0" w:type="dxa"/>
          </w:tblCellMar>
        </w:tblPrEx>
        <w:trPr>
          <w:trHeight w:val="855"/>
        </w:trPr>
        <w:tc>
          <w:tcPr>
            <w:gridSpan w:val="2"/>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000000"/>
                <w:sz w:val="29"/>
                <w:szCs w:val="29"/>
              </w:rPr>
            </w:pPr>
          </w:p>
        </w:tc>
        <w:tc>
          <w:tcPr>
            <w:tcW w:w="18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000000"/>
                <w:sz w:val="29"/>
                <w:szCs w:val="29"/>
              </w:rPr>
              <w:t>住宿费标准</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新建北五、北六宿舍5800元/年（沪教委民﹝2015﹞4号文件）（收费标准由民办院校自主确定）</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其它宿舍3600元/年（沪教委民﹝2015﹞4号文件）（收费标准由民办院校自主确定）</w:t>
            </w:r>
          </w:p>
        </w:tc>
      </w:tr>
      <w:tr>
        <w:tblPrEx>
          <w:tblW w:w="14310" w:type="dxa"/>
          <w:tblInd w:w="165" w:type="dxa"/>
          <w:tblCellMar>
            <w:top w:w="0" w:type="dxa"/>
            <w:left w:w="0" w:type="dxa"/>
            <w:bottom w:w="0" w:type="dxa"/>
            <w:right w:w="0" w:type="dxa"/>
          </w:tblCellMar>
        </w:tblPrEx>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000000"/>
                <w:sz w:val="29"/>
                <w:szCs w:val="29"/>
              </w:rPr>
              <w:t>十四、资助政策</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我校认真执行国家和上海市相关学生资助规定，被本校录取的家庭经济困难学生可通过“绿色通道”申请入学，入学后可按规定申请国家奖学金、国家励志奖学金、上海市奖学金、国家助学金、国家助学贷款、勤工助学岗位、特殊困难补助和学费减免等。同时，学校还设立清云奖学金、卓越奖学金、特等、一等、二等、三等奖学金。我校承诺：确保被本校录取的学生不因家庭经济困难而辍学。</w:t>
            </w:r>
          </w:p>
        </w:tc>
      </w:tr>
      <w:tr>
        <w:tblPrEx>
          <w:tblW w:w="14310" w:type="dxa"/>
          <w:tblInd w:w="165" w:type="dxa"/>
          <w:tblCellMar>
            <w:top w:w="0" w:type="dxa"/>
            <w:left w:w="0" w:type="dxa"/>
            <w:bottom w:w="0" w:type="dxa"/>
            <w:right w:w="0" w:type="dxa"/>
          </w:tblCellMar>
        </w:tblPrEx>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000000"/>
                <w:sz w:val="29"/>
                <w:szCs w:val="29"/>
              </w:rPr>
              <w:t>十五、监督机制及举报电话</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按照招生“阳光工程”的统一要求，我校秋季统一考试招生全程接受上海建桥学院招生监察小组监督。</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举报电话：021-58137877</w:t>
            </w:r>
          </w:p>
        </w:tc>
      </w:tr>
      <w:tr>
        <w:tblPrEx>
          <w:tblW w:w="14310" w:type="dxa"/>
          <w:tblInd w:w="165" w:type="dxa"/>
          <w:tblCellMar>
            <w:top w:w="0" w:type="dxa"/>
            <w:left w:w="0" w:type="dxa"/>
            <w:bottom w:w="0" w:type="dxa"/>
            <w:right w:w="0" w:type="dxa"/>
          </w:tblCellMar>
        </w:tblPrEx>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000000"/>
                <w:sz w:val="29"/>
                <w:szCs w:val="29"/>
              </w:rPr>
              <w:t>十六、网址及联系电话</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学校官网：http://www.gench.edu.cn</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招生处（办）官网：http://zsb.gench.edu.cn</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咨询电话：021-58137880、68130020</w:t>
            </w:r>
          </w:p>
        </w:tc>
      </w:tr>
    </w:tbl>
    <w:p>
      <w:pPr>
        <w:rPr>
          <w:rFonts w:ascii="Times New Roman" w:eastAsia="Times New Roman" w:hAnsi="Times New Roman" w:cs="Times New Roman"/>
        </w:rPr>
      </w:pP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上海工艺美术职业学院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年普通高等学校招生章程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上海科学技术职业学院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思源计划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年上海外国语大学高校专项计划招生简章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上海财经大学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上海大学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年高校专项计划暨</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启航计划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上海健康医学院郑学文同志荣获</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上海市纪检监察系统先进工作者</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称号</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上海中医药大学《中医药文化（英文）》入选</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年中国卓越科技期刊十大最</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上海应用技术大学举办</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喜迎二十大</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一起向未来</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辅导员专题培训</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上海应用技术大学召开</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年领导干部报告个人有关事项工作部署培训会</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东华大学校长俞建勇出席上海建设世界一流</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设计之都</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推进大会</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2/0417/22186.html" TargetMode="External" /><Relationship Id="rId11" Type="http://schemas.openxmlformats.org/officeDocument/2006/relationships/hyperlink" Target="http://www.gk114.com/a/gxzs/zszc/shanghai/2022/0406/22075.html" TargetMode="External" /><Relationship Id="rId12" Type="http://schemas.openxmlformats.org/officeDocument/2006/relationships/hyperlink" Target="http://www.gk114.com/a/gxzs/zszc/shanghai/2022/0220/21738.html" TargetMode="External" /><Relationship Id="rId13" Type="http://schemas.openxmlformats.org/officeDocument/2006/relationships/hyperlink" Target="http://www.gk114.com/a/gxzs/zszc/shanghai/2022/0220/21737.html" TargetMode="External" /><Relationship Id="rId14" Type="http://schemas.openxmlformats.org/officeDocument/2006/relationships/hyperlink" Target="http://www.gk114.com/a/gxzs/zszc/shanghai/2022/0220/21736.html" TargetMode="External" /><Relationship Id="rId15" Type="http://schemas.openxmlformats.org/officeDocument/2006/relationships/hyperlink" Target="http://www.gk114.com/a/gxzs/zszc/shanghai/2022/0220/21735.html" TargetMode="External" /><Relationship Id="rId16" Type="http://schemas.openxmlformats.org/officeDocument/2006/relationships/hyperlink" Target="http://www.gk114.com/a/gxzs/zszc/shanghai/2022/0220/21734.html" TargetMode="External" /><Relationship Id="rId17" Type="http://schemas.openxmlformats.org/officeDocument/2006/relationships/hyperlink" Target="http://www.gk114.com/a/gxzs/zszc/shanghai/2021/0609/19802.html" TargetMode="External" /><Relationship Id="rId18" Type="http://schemas.openxmlformats.org/officeDocument/2006/relationships/hyperlink" Target="http://www.gk114.com/a/gxzs/zszc/shanghai/2021/0606/19768.html" TargetMode="External" /><Relationship Id="rId19" Type="http://schemas.openxmlformats.org/officeDocument/2006/relationships/hyperlink" Target="http://www.gk114.com/a/gxzs/zszc/shanghai/2021/0603/19707.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ghai/2019/0630/10370.html" TargetMode="External" /><Relationship Id="rId5" Type="http://schemas.openxmlformats.org/officeDocument/2006/relationships/hyperlink" Target="http://www.gk114.com/a/gxzs/zszc/shanghai/2019/0630/10372.html" TargetMode="External" /><Relationship Id="rId6" Type="http://schemas.openxmlformats.org/officeDocument/2006/relationships/hyperlink" Target="http://www.gk114.com/a/gxzs/zszc/shanghai/" TargetMode="External" /><Relationship Id="rId7" Type="http://schemas.openxmlformats.org/officeDocument/2006/relationships/hyperlink" Target="http://www.gk114.com/a/gxzs/zszc/shanghai/2022/0417/22193.html" TargetMode="External" /><Relationship Id="rId8" Type="http://schemas.openxmlformats.org/officeDocument/2006/relationships/hyperlink" Target="http://www.gk114.com/a/gxzs/zszc/shanghai/2022/0417/22189.html" TargetMode="External" /><Relationship Id="rId9" Type="http://schemas.openxmlformats.org/officeDocument/2006/relationships/hyperlink" Target="http://www.gk114.com/a/gxzs/zszc/shanghai/2022/0417/2218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