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Times New Roman" w:eastAsia="Times New Roman" w:hAnsi="Times New Roman" w:cs="Times New Roman"/>
          <w:kern w:val="36"/>
          <w:sz w:val="48"/>
          <w:szCs w:val="48"/>
        </w:rPr>
        <w:t>2019</w:t>
      </w:r>
      <w:r>
        <w:rPr>
          <w:rFonts w:ascii="SimSun" w:eastAsia="SimSun" w:hAnsi="SimSun" w:cs="SimSun"/>
          <w:kern w:val="36"/>
          <w:sz w:val="48"/>
          <w:szCs w:val="48"/>
        </w:rPr>
        <w:t>年上海杉达学院招生章程（</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全国统考</w:t>
      </w:r>
      <w:r>
        <w:rPr>
          <w:rFonts w:ascii="Times New Roman" w:eastAsia="Times New Roman" w:hAnsi="Times New Roman" w:cs="Times New Roman"/>
          <w:kern w:val="36"/>
          <w:sz w:val="48"/>
          <w:szCs w:val="48"/>
        </w:rPr>
        <w:t xml:space="preserve"> </w:t>
      </w:r>
      <w:r>
        <w:rPr>
          <w:rFonts w:ascii="SimSun" w:eastAsia="SimSun" w:hAnsi="SimSun" w:cs="SimSun"/>
          <w:kern w:val="36"/>
          <w:sz w:val="48"/>
          <w:szCs w:val="48"/>
        </w:rPr>
        <w:t>）</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2019-06-30</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tbl>
      <w:tblPr>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
      <w:tblGrid>
        <w:gridCol w:w="4564"/>
        <w:gridCol w:w="12"/>
        <w:gridCol w:w="1427"/>
        <w:gridCol w:w="25677"/>
      </w:tblGrid>
      <w:tr>
        <w:tblPrEx>
          <w:tblW w:w="14370" w:type="dxa"/>
          <w:tblInd w:w="30" w:type="dxa"/>
          <w:tblBorders>
            <w:top w:val="single" w:sz="24" w:space="0" w:color="CCCCCC"/>
            <w:left w:val="single" w:sz="24" w:space="0" w:color="CCCCCC"/>
            <w:bottom w:val="single" w:sz="24" w:space="0" w:color="CCCCCC"/>
            <w:right w:val="single" w:sz="24" w:space="0" w:color="CCCCCC"/>
          </w:tblBorders>
          <w:tblCellMar>
            <w:top w:w="0" w:type="dxa"/>
            <w:left w:w="0" w:type="dxa"/>
            <w:bottom w:w="0" w:type="dxa"/>
            <w:right w:w="0" w:type="dxa"/>
          </w:tblCellMar>
        </w:tblPrEx>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c>
          <w:tcPr>
            <w:vAlign w:val="center"/>
            <w:hideMark/>
          </w:tcPr>
          <w:p>
            <w:pPr>
              <w:rPr>
                <w:rFonts w:ascii="Times New Roman" w:eastAsia="Times New Roman" w:hAnsi="Times New Roman" w:cs="Times New Roman"/>
              </w:rPr>
            </w:pPr>
          </w:p>
        </w:tc>
      </w:tr>
      <w:tr>
        <w:tblPrEx>
          <w:tblW w:w="14370" w:type="dxa"/>
          <w:tblInd w:w="30" w:type="dxa"/>
          <w:tblCellMar>
            <w:top w:w="0" w:type="dxa"/>
            <w:left w:w="0" w:type="dxa"/>
            <w:bottom w:w="0" w:type="dxa"/>
            <w:right w:w="0" w:type="dxa"/>
          </w:tblCellMar>
        </w:tblPrEx>
        <w:trPr>
          <w:trHeight w:val="540"/>
        </w:trPr>
        <w:tc>
          <w:tcPr>
            <w:tcW w:w="10665" w:type="dxa"/>
            <w:gridSpan w:val="4"/>
            <w:tcBorders>
              <w:top w:val="single" w:sz="12" w:space="0" w:color="000000"/>
              <w:bottom w:val="single" w:sz="24" w:space="0" w:color="000000"/>
            </w:tcBorders>
            <w:noWrap w:val="0"/>
            <w:tcMar>
              <w:top w:w="15"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75" w:lineRule="atLeast"/>
              <w:ind w:left="0" w:right="0" w:firstLine="555"/>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2019</w:t>
            </w:r>
            <w:r>
              <w:rPr>
                <w:rFonts w:ascii="楷体_GB2312" w:eastAsia="楷体_GB2312" w:hAnsi="楷体_GB2312" w:cs="楷体_GB2312"/>
                <w:b w:val="0"/>
                <w:bCs w:val="0"/>
                <w:i w:val="0"/>
                <w:iCs w:val="0"/>
                <w:smallCaps w:val="0"/>
                <w:color w:val="000000"/>
                <w:sz w:val="29"/>
                <w:szCs w:val="29"/>
              </w:rPr>
              <w:t>年上海市普通高等学校全国统考招生章程</w:t>
            </w:r>
          </w:p>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楷体_GB2312" w:eastAsia="楷体_GB2312" w:hAnsi="楷体_GB2312" w:cs="楷体_GB2312"/>
                <w:b w:val="0"/>
                <w:bCs w:val="0"/>
                <w:i w:val="0"/>
                <w:iCs w:val="0"/>
                <w:smallCaps w:val="0"/>
                <w:color w:val="000000"/>
                <w:sz w:val="29"/>
                <w:szCs w:val="29"/>
              </w:rPr>
              <w:t>（秋季统一高考）</w:t>
            </w:r>
          </w:p>
        </w:tc>
      </w:tr>
      <w:tr>
        <w:tblPrEx>
          <w:tblW w:w="14370" w:type="dxa"/>
          <w:tblInd w:w="30" w:type="dxa"/>
          <w:tblCellMar>
            <w:top w:w="0" w:type="dxa"/>
            <w:left w:w="0" w:type="dxa"/>
            <w:bottom w:w="0" w:type="dxa"/>
            <w:right w:w="0" w:type="dxa"/>
          </w:tblCellMar>
        </w:tblPrEx>
        <w:trPr>
          <w:trHeight w:val="54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一、院校全称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上海杉达学院</w:t>
            </w:r>
          </w:p>
        </w:tc>
      </w:tr>
      <w:tr>
        <w:tblPrEx>
          <w:tblW w:w="14370" w:type="dxa"/>
          <w:tblInd w:w="30" w:type="dxa"/>
          <w:tblCellMar>
            <w:top w:w="0" w:type="dxa"/>
            <w:left w:w="0" w:type="dxa"/>
            <w:bottom w:w="0" w:type="dxa"/>
            <w:right w:w="0" w:type="dxa"/>
          </w:tblCellMar>
        </w:tblPrEx>
        <w:trPr>
          <w:trHeight w:val="96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二、就读校址</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金海校区地址为上海市浦东新区金海路2727号；嘉善校区地址为浙江省嘉善县人民大道505号；金桥校区地址为上海市浦</w:t>
            </w:r>
            <w:r>
              <w:rPr>
                <w:rFonts w:ascii="FangSong" w:eastAsia="FangSong" w:hAnsi="FangSong" w:cs="FangSong"/>
                <w:b w:val="0"/>
                <w:bCs w:val="0"/>
                <w:i w:val="0"/>
                <w:iCs w:val="0"/>
                <w:smallCaps w:val="0"/>
                <w:color w:val="000000"/>
                <w:sz w:val="29"/>
                <w:szCs w:val="29"/>
              </w:rPr>
              <w:t>东新区</w:t>
            </w:r>
            <w:r>
              <w:rPr>
                <w:rFonts w:ascii="FangSong" w:eastAsia="FangSong" w:hAnsi="FangSong" w:cs="FangSong"/>
                <w:b w:val="0"/>
                <w:bCs w:val="0"/>
                <w:i w:val="0"/>
                <w:iCs w:val="0"/>
                <w:smallCaps w:val="0"/>
                <w:color w:val="000000"/>
                <w:sz w:val="29"/>
                <w:szCs w:val="29"/>
              </w:rPr>
              <w:t>金桥路545号；长寿路校区地址为上海市普陀区长寿路652号。所有语言类专业</w:t>
            </w:r>
            <w:r>
              <w:rPr>
                <w:rFonts w:ascii="FangSong" w:eastAsia="FangSong" w:hAnsi="FangSong" w:cs="FangSong"/>
                <w:b w:val="0"/>
                <w:bCs w:val="0"/>
                <w:i w:val="0"/>
                <w:iCs w:val="0"/>
                <w:smallCaps w:val="0"/>
                <w:color w:val="000000"/>
                <w:sz w:val="29"/>
                <w:szCs w:val="29"/>
              </w:rPr>
              <w:t>以及旅游管理、酒店管理专业录取新生的就读校区为一二年级在嘉善校区，其他学期在金海校区。服装与服饰设计专业录取新生的就读校区为一年级在嘉善校区，其他学期在长寿路校区。其他专业录取新生就读校区为一年级在嘉善校区，其他学期在金海校区。专科所有专业录取新生就读校区为金桥校区。</w:t>
            </w:r>
          </w:p>
        </w:tc>
      </w:tr>
      <w:tr>
        <w:tblPrEx>
          <w:tblW w:w="14370" w:type="dxa"/>
          <w:tblInd w:w="30" w:type="dxa"/>
          <w:tblCellMar>
            <w:top w:w="0" w:type="dxa"/>
            <w:left w:w="0" w:type="dxa"/>
            <w:bottom w:w="0" w:type="dxa"/>
            <w:right w:w="0" w:type="dxa"/>
          </w:tblCellMar>
        </w:tblPrEx>
        <w:trPr>
          <w:trHeight w:val="67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三、招生层次</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本科</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高职</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 xml:space="preserve"> □ </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专科</w:t>
            </w:r>
          </w:p>
        </w:tc>
      </w:tr>
      <w:tr>
        <w:tblPrEx>
          <w:tblW w:w="14370" w:type="dxa"/>
          <w:tblInd w:w="30" w:type="dxa"/>
          <w:tblCellMar>
            <w:top w:w="0" w:type="dxa"/>
            <w:left w:w="0" w:type="dxa"/>
            <w:bottom w:w="0" w:type="dxa"/>
            <w:right w:w="0" w:type="dxa"/>
          </w:tblCellMar>
        </w:tblPrEx>
        <w:trPr>
          <w:trHeight w:val="12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四、办学类型</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普通高等学校 □ 成人高等学校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公办高等学校</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民办高等学校 □ 独立学院</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 高等专科学校 □ 高等职业技术学校</w:t>
            </w:r>
          </w:p>
        </w:tc>
      </w:tr>
      <w:tr>
        <w:tblPrEx>
          <w:tblW w:w="14370" w:type="dxa"/>
          <w:tblInd w:w="30" w:type="dxa"/>
          <w:tblCellMar>
            <w:top w:w="0" w:type="dxa"/>
            <w:left w:w="0" w:type="dxa"/>
            <w:bottom w:w="0" w:type="dxa"/>
            <w:right w:w="0" w:type="dxa"/>
          </w:tblCellMar>
        </w:tblPrEx>
        <w:trPr>
          <w:trHeight w:val="660"/>
        </w:trPr>
        <w:tc>
          <w:tcPr>
            <w:tcW w:w="2025" w:type="dxa"/>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五、颁发学历证书的院校名称及证书种类</w:t>
            </w: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院校名称</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center"/>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上海杉达学院</w:t>
            </w:r>
          </w:p>
        </w:tc>
      </w:tr>
      <w:tr>
        <w:tblPrEx>
          <w:tblW w:w="14370" w:type="dxa"/>
          <w:tblInd w:w="30" w:type="dxa"/>
          <w:tblCellMar>
            <w:top w:w="0" w:type="dxa"/>
            <w:left w:w="0" w:type="dxa"/>
            <w:bottom w:w="0" w:type="dxa"/>
            <w:right w:w="0" w:type="dxa"/>
          </w:tblCellMar>
        </w:tblPrEx>
        <w:trPr>
          <w:trHeight w:val="735"/>
        </w:trPr>
        <w:tc>
          <w:tcPr>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2000" w:type="dxa"/>
            <w:gridSpan w:val="2"/>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证书种类</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36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修学期满，符合毕业要求，颁发上海杉达学院的本科毕业证书或专科毕业证书。</w:t>
            </w:r>
          </w:p>
        </w:tc>
      </w:tr>
      <w:tr>
        <w:tblPrEx>
          <w:tblW w:w="14370" w:type="dxa"/>
          <w:tblInd w:w="30" w:type="dxa"/>
          <w:tblCellMar>
            <w:top w:w="0" w:type="dxa"/>
            <w:left w:w="0" w:type="dxa"/>
            <w:bottom w:w="0" w:type="dxa"/>
            <w:right w:w="0" w:type="dxa"/>
          </w:tblCellMar>
        </w:tblPrEx>
        <w:trPr>
          <w:trHeight w:val="184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六、院校招生管理机构</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上海杉达学院招生领导小组是我校招生工作的最高决策机构，统一领导学校招生工作；上海杉达学院招生办公室是我校组织和实施招生工作的常设机构，负责学校招生的日常工作；上海杉达学院教务处是我校组织和实施招生考试的常设机构，负责学校招生的考试工作；上海杉达学院招生监察小组是我校招生工作纪检监察机构。</w:t>
            </w:r>
          </w:p>
        </w:tc>
      </w:tr>
      <w:tr>
        <w:tblPrEx>
          <w:tblW w:w="14370" w:type="dxa"/>
          <w:tblInd w:w="30" w:type="dxa"/>
          <w:tblCellMar>
            <w:top w:w="0" w:type="dxa"/>
            <w:left w:w="0" w:type="dxa"/>
            <w:bottom w:w="0" w:type="dxa"/>
            <w:right w:w="0" w:type="dxa"/>
          </w:tblCellMar>
        </w:tblPrEx>
        <w:trPr>
          <w:trHeight w:val="4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七、招生计划分配</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的原则和办法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一、我校依据上海市教育委员会核准的年度招生规模，结合学校发展定位与办学条件，统筹考虑近年分省分专业招生计划编制及使用情况，科学、合理地编制学校本年度分省分专业招生计划。</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二、各招生专业无男女比例限制。</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三、护理学、康复治疗学专业色盲色弱不宜。</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四、本年度我校分省分专业招生计划、高考改革省市选考科目要求等详见各省级招生主管部门（以下简称省招办）编印的2019年普通高等学校招生专业和计划相关文件。</w:t>
            </w:r>
          </w:p>
        </w:tc>
      </w:tr>
      <w:tr>
        <w:tblPrEx>
          <w:tblW w:w="14370" w:type="dxa"/>
          <w:tblInd w:w="30" w:type="dxa"/>
          <w:tblCellMar>
            <w:top w:w="0" w:type="dxa"/>
            <w:left w:w="0" w:type="dxa"/>
            <w:bottom w:w="0" w:type="dxa"/>
            <w:right w:w="0" w:type="dxa"/>
          </w:tblCellMar>
        </w:tblPrEx>
        <w:trPr>
          <w:trHeight w:val="112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八、预留计划数及使用办法</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本科招生计划的1%用于生源质量调控及同分数考生的录取。</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九、专业培养对入学外</w:t>
            </w:r>
          </w:p>
          <w:p>
            <w:pPr>
              <w:pBdr>
                <w:top w:val="none" w:sz="0" w:space="0" w:color="auto"/>
                <w:left w:val="none" w:sz="0" w:space="0" w:color="auto"/>
                <w:bottom w:val="none" w:sz="0" w:space="0" w:color="auto"/>
                <w:right w:val="none" w:sz="0" w:space="0" w:color="auto"/>
              </w:pBdr>
              <w:spacing w:before="0" w:after="0" w:line="420" w:lineRule="atLeast"/>
              <w:ind w:left="0" w:right="0" w:firstLine="51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语考试语种的要求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各专业入学外语考试语种不限；日语、朝鲜语、西班牙语、翻译（日语翻译方向）等语言类专业教学外语语种为本专业语种；其他专业教学外语语种均为英语。</w:t>
            </w:r>
          </w:p>
        </w:tc>
      </w:tr>
      <w:tr>
        <w:tblPrEx>
          <w:tblW w:w="14370" w:type="dxa"/>
          <w:tblInd w:w="30" w:type="dxa"/>
          <w:tblCellMar>
            <w:top w:w="0" w:type="dxa"/>
            <w:left w:w="0" w:type="dxa"/>
            <w:bottom w:w="0" w:type="dxa"/>
            <w:right w:w="0" w:type="dxa"/>
          </w:tblCellMar>
        </w:tblPrEx>
        <w:trPr>
          <w:trHeight w:val="255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十、身体健康状况要求</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以教育部、卫生部和中国残疾人联合会印发的《普通高等学校招生体检工作指导意见》（教学〔2003〕3号）及有关补充规定为依据，考生须据实上报健康状况。经复查，身体健康状况不符合专业学习要求的考生，学校将按照教育部《普通高等学校学生管理规定》和本校学籍管理相关规定处理。</w:t>
            </w:r>
          </w:p>
        </w:tc>
      </w:tr>
      <w:tr>
        <w:tblPrEx>
          <w:tblW w:w="14370" w:type="dxa"/>
          <w:tblInd w:w="30" w:type="dxa"/>
          <w:tblCellMar>
            <w:top w:w="0" w:type="dxa"/>
            <w:left w:w="0" w:type="dxa"/>
            <w:bottom w:w="0" w:type="dxa"/>
            <w:right w:w="0" w:type="dxa"/>
          </w:tblCellMar>
        </w:tblPrEx>
        <w:trPr>
          <w:trHeight w:val="1155"/>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十一、加分政策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我校认可教育部和各省级招办根据教育部相关规定给予考生的全国性加分政策。我校原则上认可考生具备的所有加分项中最高分一项，且最高不超过20分。</w:t>
            </w:r>
          </w:p>
        </w:tc>
      </w:tr>
      <w:tr>
        <w:tblPrEx>
          <w:tblW w:w="14370" w:type="dxa"/>
          <w:tblInd w:w="30" w:type="dxa"/>
          <w:tblCellMar>
            <w:top w:w="0" w:type="dxa"/>
            <w:left w:w="0" w:type="dxa"/>
            <w:bottom w:w="0" w:type="dxa"/>
            <w:right w:w="0" w:type="dxa"/>
          </w:tblCellMar>
        </w:tblPrEx>
        <w:trPr>
          <w:trHeight w:val="42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十二、录取规则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一、依据普通高等学校招生全国统一考试（秋季统一考试）成绩录取的规则：</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1.</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省级招办按我校在当地的招生计划数和投档比例将第一志愿报考我校的生源从高分到低分（含加分）进行投档。具体的投档比例由我校根据各省市实际生源情况确定，原则上投档比例不超过105%。按照平行志愿投档的批次，原则上投档比例不超过102%。</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w:t>
            </w:r>
            <w:r>
              <w:rPr>
                <w:rFonts w:ascii="FangSong" w:eastAsia="FangSong" w:hAnsi="FangSong" w:cs="FangSong"/>
                <w:b w:val="0"/>
                <w:bCs w:val="0"/>
                <w:i w:val="0"/>
                <w:iCs w:val="0"/>
                <w:smallCaps w:val="0"/>
                <w:color w:val="000000"/>
                <w:sz w:val="29"/>
                <w:szCs w:val="29"/>
              </w:rPr>
              <w:t>非艺术类专业录取时根据分数优先原则，按各专业招生计划数，从高分到低分进行录取，无专业级差分。对于同分考生，均按各省市提供的投档排序规则录取；高考改革省份依次参考语、数、外科目成绩的高低，再出现同分，则参考综合素质评价信息择优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3.</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政策性加分在专业录取时计入总分。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w:t>
            </w:r>
            <w:r>
              <w:rPr>
                <w:rFonts w:ascii="FangSong" w:eastAsia="FangSong" w:hAnsi="FangSong" w:cs="FangSong"/>
                <w:b w:val="0"/>
                <w:bCs w:val="0"/>
                <w:i w:val="0"/>
                <w:iCs w:val="0"/>
                <w:smallCaps w:val="0"/>
                <w:color w:val="000000"/>
                <w:sz w:val="29"/>
                <w:szCs w:val="29"/>
              </w:rPr>
              <w:t>上海市综合素质评价满分赋5分, 在专业录取时计入总分。参考上海市普通高中学生综合素质评价信息进行综合评定，给予考生相应的得分，凡获得市级及以上奖励或证书的考生（在上海市普通高中学生综合素质评价信息管理系统中有所记录，不用考生再次递交纸质材料），其中市优秀学生、市优秀学生干部、市三好学生、市优秀团员、市优秀团干部、经政府批准市级学科竞赛获奖者每项赋3分，其他均赋1分，各项目可累计赋分，总分不超过5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5.</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对达到我校最低录取分数线但未进入专业志愿、且愿意服从所有专业调剂的考生作调剂录取。不服从专业调剂者，作退档处理。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二、第一志愿生源不足时，省招办可在同批次录取控制分数线上，按非第一志愿考生（包括征集志愿）人数不超过招生计划剩余数的102%进行投档；若生源仍不足，我校不做降分处理。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三、高考改革有关省市的录取规则和程序以省招办规定为准。</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四、在江苏省，报考我校本科批次考生的学业水平测试两门选测科目的成绩等第须达到二C,采用“先分数、后等级”的原则录取。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五、部分专业有高考单科要求。我校计算机科学与技术（含数据工程方向）、软件工程专业原则上录取数学成绩90分及以上的考生；计算机科学与技术（卓越班）原则上录取数学成绩120分及以上、英语成绩110分及以上的考生；国际经济与贸易（中美合作办学）、金融学（CFA方向）、财务管理（CIMA方向）和语言类专业原则上录取外语成绩90分及以上的考生；新闻学（含传媒经营方向）原则上录取语文成绩95分及以上的考生。单科不以150分计的省份，统一折算至150分计。</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六、艺术类录取说明。</w:t>
            </w:r>
            <w:r>
              <w:rPr>
                <w:rFonts w:ascii="FangSong" w:eastAsia="FangSong" w:hAnsi="FangSong" w:cs="FangSong"/>
                <w:b w:val="0"/>
                <w:bCs w:val="0"/>
                <w:i w:val="0"/>
                <w:iCs w:val="0"/>
                <w:smallCaps w:val="0"/>
                <w:color w:val="000000"/>
                <w:sz w:val="29"/>
                <w:szCs w:val="29"/>
              </w:rPr>
              <w:br/>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1.录取总分计算公式：专业统考成绩+（专业统考满分÷高考文化满分）*高考文化成绩</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2.</w:t>
            </w:r>
            <w:r>
              <w:rPr>
                <w:rFonts w:ascii="FangSong" w:eastAsia="FangSong" w:hAnsi="FangSong" w:cs="FangSong"/>
                <w:b w:val="0"/>
                <w:bCs w:val="0"/>
                <w:i w:val="0"/>
                <w:iCs w:val="0"/>
                <w:smallCaps w:val="0"/>
                <w:color w:val="000000"/>
                <w:sz w:val="29"/>
                <w:szCs w:val="29"/>
              </w:rPr>
              <w:t>高考外语成绩须达到60分及以上，文理兼收。</w:t>
            </w:r>
            <w:r>
              <w:rPr>
                <w:rFonts w:ascii="FangSong" w:eastAsia="FangSong" w:hAnsi="FangSong" w:cs="FangSong"/>
                <w:b w:val="0"/>
                <w:bCs w:val="0"/>
                <w:i w:val="0"/>
                <w:iCs w:val="0"/>
                <w:smallCaps w:val="0"/>
                <w:color w:val="000000"/>
                <w:sz w:val="29"/>
                <w:szCs w:val="29"/>
              </w:rPr>
              <w:br/>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3.专业录取时先按招生计划划定最低录取分数线，后以专业志愿优先原则录取。</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4.</w:t>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上海考生美术类专业成绩须达320分及以上，方可报考我校。</w:t>
            </w:r>
            <w:r>
              <w:rPr>
                <w:rFonts w:ascii="FangSong" w:eastAsia="FangSong" w:hAnsi="FangSong" w:cs="FangSong"/>
                <w:b w:val="0"/>
                <w:bCs w:val="0"/>
                <w:i w:val="0"/>
                <w:iCs w:val="0"/>
                <w:smallCaps w:val="0"/>
                <w:color w:val="000000"/>
                <w:sz w:val="29"/>
                <w:szCs w:val="29"/>
              </w:rPr>
              <w:br/>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5.上海考生美术类专业成绩达到上海市艺术类专业统考前900名、文化成绩达到上海市艺术类本科最低控制分数线，单科不限，可直接录取，按录取总分排序进行专业录取。</w:t>
            </w:r>
            <w:r>
              <w:rPr>
                <w:rFonts w:ascii="FangSong" w:eastAsia="FangSong" w:hAnsi="FangSong" w:cs="FangSong"/>
                <w:b w:val="0"/>
                <w:bCs w:val="0"/>
                <w:i w:val="0"/>
                <w:iCs w:val="0"/>
                <w:smallCaps w:val="0"/>
                <w:color w:val="000000"/>
                <w:sz w:val="29"/>
                <w:szCs w:val="29"/>
              </w:rPr>
              <w:br/>
            </w:r>
            <w:r>
              <w:rPr>
                <w:rFonts w:ascii="Calibri" w:eastAsia="Calibri" w:hAnsi="Calibri" w:cs="Calibri"/>
                <w:b w:val="0"/>
                <w:bCs w:val="0"/>
                <w:i w:val="0"/>
                <w:iCs w:val="0"/>
                <w:smallCaps w:val="0"/>
                <w:color w:val="000000"/>
                <w:sz w:val="29"/>
                <w:szCs w:val="29"/>
              </w:rPr>
              <w:t> </w:t>
            </w:r>
            <w:r>
              <w:rPr>
                <w:rFonts w:ascii="FangSong" w:eastAsia="FangSong" w:hAnsi="FangSong" w:cs="FangSong"/>
                <w:b w:val="0"/>
                <w:bCs w:val="0"/>
                <w:i w:val="0"/>
                <w:iCs w:val="0"/>
                <w:smallCaps w:val="0"/>
                <w:color w:val="000000"/>
                <w:sz w:val="29"/>
                <w:szCs w:val="29"/>
              </w:rPr>
              <w:t>6. 总分同分考生参照专业统考成绩。</w:t>
            </w:r>
          </w:p>
        </w:tc>
      </w:tr>
      <w:tr>
        <w:tblPrEx>
          <w:tblW w:w="14370" w:type="dxa"/>
          <w:tblInd w:w="30" w:type="dxa"/>
          <w:tblCellMar>
            <w:top w:w="0" w:type="dxa"/>
            <w:left w:w="0" w:type="dxa"/>
            <w:bottom w:w="0" w:type="dxa"/>
            <w:right w:w="0" w:type="dxa"/>
          </w:tblCellMar>
        </w:tblPrEx>
        <w:trPr>
          <w:trHeight w:val="600"/>
        </w:trPr>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十三、特殊类型招生规则</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无</w:t>
            </w:r>
          </w:p>
        </w:tc>
      </w:tr>
      <w:tr>
        <w:tblPrEx>
          <w:tblW w:w="14370" w:type="dxa"/>
          <w:tblInd w:w="30" w:type="dxa"/>
          <w:tblCellMar>
            <w:top w:w="0" w:type="dxa"/>
            <w:left w:w="0" w:type="dxa"/>
            <w:bottom w:w="0" w:type="dxa"/>
            <w:right w:w="0" w:type="dxa"/>
          </w:tblCellMar>
        </w:tblPrEx>
        <w:trPr>
          <w:trHeight w:val="990"/>
        </w:trPr>
        <w:tc>
          <w:tcPr>
            <w:tcW w:w="2220" w:type="dxa"/>
            <w:gridSpan w:val="2"/>
            <w:vMerge w:val="restart"/>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十四、收费标准</w:t>
            </w: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学费标准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国际经济与贸易（中美合作办学）专业42000元/年，金融学（CFA方向）、财务管理（CIMA方向）、酒店管理（高级管家方向）专业38000元/年，艺术类专业39000元/年，其他本科专业29000元/年；所有专科专业15000元/年。收费文件依据：沪教委民（2015）4号；收费标准由民办院校自主确定。</w:t>
            </w:r>
          </w:p>
        </w:tc>
      </w:tr>
      <w:tr>
        <w:tblPrEx>
          <w:tblW w:w="14370" w:type="dxa"/>
          <w:tblInd w:w="30" w:type="dxa"/>
          <w:tblCellMar>
            <w:top w:w="0" w:type="dxa"/>
            <w:left w:w="0" w:type="dxa"/>
            <w:bottom w:w="0" w:type="dxa"/>
            <w:right w:w="0" w:type="dxa"/>
          </w:tblCellMar>
        </w:tblPrEx>
        <w:trPr>
          <w:trHeight w:val="855"/>
        </w:trPr>
        <w:tc>
          <w:tcPr>
            <w:gridSpan w:val="2"/>
            <w:vMerge/>
            <w:tcBorders>
              <w:top w:val="single" w:sz="6" w:space="0" w:color="CCCCCC"/>
              <w:bottom w:val="single" w:sz="24" w:space="0" w:color="000000"/>
              <w:right w:val="single" w:sz="24" w:space="0" w:color="000000"/>
            </w:tcBorders>
            <w:vAlign w:val="center"/>
            <w:hideMark/>
          </w:tcPr>
          <w:p>
            <w:pPr>
              <w:rPr>
                <w:rFonts w:ascii="FangSong" w:eastAsia="FangSong" w:hAnsi="FangSong" w:cs="FangSong"/>
                <w:b w:val="0"/>
                <w:bCs w:val="0"/>
                <w:i w:val="0"/>
                <w:iCs w:val="0"/>
                <w:smallCaps w:val="0"/>
                <w:color w:val="000000"/>
                <w:sz w:val="29"/>
                <w:szCs w:val="29"/>
              </w:rPr>
            </w:pPr>
          </w:p>
        </w:tc>
        <w:tc>
          <w:tcPr>
            <w:tcW w:w="1805" w:type="dxa"/>
            <w:tcBorders>
              <w:top w:val="single" w:sz="6" w:space="0" w:color="CCCCCC"/>
              <w:bottom w:val="single" w:sz="24" w:space="0" w:color="000000"/>
              <w:right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jc w:val="both"/>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住宿费标准</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本科3500元/年、专科2400元/年，收费文件依据：沪教委民（2015）4号，收费标准由民办院校自主确定。</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十五、资助政策</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我校认真执行国家和上海市相关学生资助规定，被本校录取的家庭经济困难学生可通过“绿色通道”申请入学，入学后可按规定申请国家奖学金、国家励志奖学金、上海市奖学金、国家助学金、国家助学贷款、勤工助学岗位、特殊困难补助和学费减免等。同时，学校还设立了上海杉达学院新生奖学金；新生助学金；上海杉达学院励志奖学金；谢希德奖学金；智瑾奖、助学金和徐国炯奖、助学金。我校承诺：确保被本校录取的学生不因家庭经济困难而辍学。</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十六、监督机制及举报电话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按照招生“阳光工程”的统一要求，我校秋季统一考试招生全程接受本校纪监审办公室监督。</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举报电话：021-50210894</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bottom w:val="single" w:sz="24" w:space="0" w:color="000000"/>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十七、网址及联系电话</w:t>
            </w:r>
          </w:p>
        </w:tc>
        <w:tc>
          <w:tcPr>
            <w:tcW w:w="7130" w:type="dxa"/>
            <w:tcBorders>
              <w:top w:val="single" w:sz="6" w:space="0" w:color="CCCCCC"/>
              <w:bottom w:val="single" w:sz="24" w:space="0" w:color="000000"/>
            </w:tcBorders>
            <w:noWrap w:val="0"/>
            <w:tcMar>
              <w:top w:w="8" w:type="dxa"/>
              <w:left w:w="110"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学校官网：www.sandau.edu.cn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招生办官网：</w:t>
            </w:r>
            <w:r>
              <w:rPr>
                <w:rFonts w:ascii="FangSong" w:eastAsia="FangSong" w:hAnsi="FangSong" w:cs="FangSong"/>
                <w:b w:val="0"/>
                <w:bCs w:val="0"/>
                <w:i w:val="0"/>
                <w:iCs w:val="0"/>
                <w:smallCaps w:val="0"/>
                <w:color w:val="000000"/>
                <w:sz w:val="29"/>
                <w:szCs w:val="29"/>
              </w:rPr>
              <w:t>zsw.sandau.edu.cn</w:t>
            </w:r>
          </w:p>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val="0"/>
                <w:bCs w:val="0"/>
                <w:i w:val="0"/>
                <w:iCs w:val="0"/>
                <w:smallCaps w:val="0"/>
                <w:color w:val="000000"/>
                <w:sz w:val="29"/>
                <w:szCs w:val="29"/>
              </w:rPr>
              <w:t>咨询电话：021-50210897</w:t>
            </w:r>
          </w:p>
        </w:tc>
      </w:tr>
      <w:tr>
        <w:tblPrEx>
          <w:tblW w:w="14370" w:type="dxa"/>
          <w:tblInd w:w="30" w:type="dxa"/>
          <w:tblCellMar>
            <w:top w:w="0" w:type="dxa"/>
            <w:left w:w="0" w:type="dxa"/>
            <w:bottom w:w="0" w:type="dxa"/>
            <w:right w:w="0" w:type="dxa"/>
          </w:tblCellMar>
        </w:tblPrEx>
        <w:tc>
          <w:tcPr>
            <w:tcW w:w="3780" w:type="dxa"/>
            <w:gridSpan w:val="3"/>
            <w:tcBorders>
              <w:top w:val="single" w:sz="6" w:space="0" w:color="CCCCCC"/>
              <w:right w:val="single" w:sz="24" w:space="0" w:color="000000"/>
            </w:tcBorders>
            <w:noWrap w:val="0"/>
            <w:tcMar>
              <w:top w:w="8" w:type="dxa"/>
              <w:left w:w="135" w:type="dxa"/>
              <w:bottom w:w="30" w:type="dxa"/>
              <w:right w:w="135" w:type="dxa"/>
            </w:tcMar>
            <w:vAlign w:val="center"/>
            <w:hideMark/>
          </w:tcPr>
          <w:p>
            <w:pPr>
              <w:pBdr>
                <w:top w:val="none" w:sz="0" w:space="0" w:color="auto"/>
                <w:left w:val="none" w:sz="0" w:space="0" w:color="auto"/>
                <w:bottom w:val="none" w:sz="0" w:space="0" w:color="auto"/>
                <w:right w:val="none" w:sz="0" w:space="0" w:color="auto"/>
              </w:pBdr>
              <w:spacing w:before="0" w:after="0" w:line="420" w:lineRule="atLeast"/>
              <w:ind w:left="0" w:right="0"/>
              <w:rPr>
                <w:rFonts w:ascii="Microsoft YaHei" w:eastAsia="Microsoft YaHei" w:hAnsi="Microsoft YaHei" w:cs="Microsoft YaHei"/>
                <w:b w:val="0"/>
                <w:bCs w:val="0"/>
                <w:i w:val="0"/>
                <w:iCs w:val="0"/>
                <w:smallCaps w:val="0"/>
                <w:color w:val="666666"/>
                <w:sz w:val="21"/>
                <w:szCs w:val="21"/>
              </w:rPr>
            </w:pPr>
            <w:r>
              <w:rPr>
                <w:rFonts w:ascii="FangSong" w:eastAsia="FangSong" w:hAnsi="FangSong" w:cs="FangSong"/>
                <w:b/>
                <w:bCs/>
                <w:i w:val="0"/>
                <w:iCs w:val="0"/>
                <w:smallCaps w:val="0"/>
                <w:color w:val="000000"/>
                <w:sz w:val="29"/>
                <w:szCs w:val="29"/>
              </w:rPr>
              <w:t>十八、其他须知</w:t>
            </w:r>
          </w:p>
          <w:p>
            <w:pPr>
              <w:spacing w:line="525" w:lineRule="atLeast"/>
              <w:rPr>
                <w:rFonts w:ascii="Microsoft YaHei" w:eastAsia="Microsoft YaHei" w:hAnsi="Microsoft YaHei" w:cs="Microsoft YaHei"/>
                <w:b w:val="0"/>
                <w:bCs w:val="0"/>
                <w:i w:val="0"/>
                <w:iCs w:val="0"/>
                <w:smallCaps w:val="0"/>
                <w:color w:val="000000"/>
                <w:sz w:val="21"/>
                <w:szCs w:val="21"/>
              </w:rPr>
            </w:pPr>
            <w:r>
              <w:rPr>
                <w:rFonts w:ascii="Microsoft YaHei" w:eastAsia="Microsoft YaHei" w:hAnsi="Microsoft YaHei" w:cs="Microsoft YaHei"/>
                <w:b w:val="0"/>
                <w:bCs w:val="0"/>
                <w:i w:val="0"/>
                <w:iCs w:val="0"/>
                <w:smallCaps w:val="0"/>
                <w:color w:val="000000"/>
                <w:sz w:val="21"/>
                <w:szCs w:val="21"/>
              </w:rPr>
              <w:t xml:space="preserve">  </w:t>
            </w:r>
          </w:p>
        </w:tc>
        <w:tc>
          <w:tcPr>
            <w:vAlign w:val="center"/>
            <w:hideMark/>
          </w:tcPr>
          <w:p>
            <w:pPr>
              <w:rPr>
                <w:rFonts w:ascii="Microsoft YaHei" w:eastAsia="Microsoft YaHei" w:hAnsi="Microsoft YaHei" w:cs="Microsoft YaHei"/>
                <w:b w:val="0"/>
                <w:bCs w:val="0"/>
                <w:i w:val="0"/>
                <w:iCs w:val="0"/>
                <w:smallCaps w:val="0"/>
                <w:color w:val="000000"/>
                <w:sz w:val="21"/>
                <w:szCs w:val="21"/>
              </w:rPr>
            </w:pPr>
          </w:p>
        </w:tc>
      </w:tr>
    </w:tbl>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上海电机学院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年秋季招生章程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年上海第二工业大学招生章程（全国统考）</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思源计划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8" w:history="1">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年上海外国语大学高校专项计划招生简章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上海财经大学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上海大学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年高校专项计划暨</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启航计划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上海交通大学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上海健康医学院郑学文同志荣获</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上海市纪检监察系统先进工作者</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称号</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上海中医药大学《中医药文化（英文）》入选</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年中国卓越科技期刊十大最</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上海应用技术大学举办</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喜迎二十大</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一起向未来</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辅导员专题培训</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上海应用技术大学召开</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年领导干部报告个人有关事项工作部署培训会</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东华大学校长俞建勇出席上海建设世界一流</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设计之都</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推进大会</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7" w:history="1">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年上海师范大学全国统考招生章程</w:t>
        </w:r>
      </w:hyperlink>
    </w:p>
    <w:p>
      <w:pPr>
        <w:numPr>
          <w:ilvl w:val="0"/>
          <w:numId w:val="2"/>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8" w:history="1">
        <w:r>
          <w:rPr>
            <w:rFonts w:ascii="SimSun" w:eastAsia="SimSun" w:hAnsi="SimSun" w:cs="SimSun"/>
            <w:color w:val="0000EE"/>
            <w:u w:val="single" w:color="0000EE"/>
          </w:rPr>
          <w:t>上海民航职业技术学院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上海高校</w:t>
        </w:r>
      </w:hyperlink>
      <w:r>
        <w:rPr>
          <w:rFonts w:ascii="Times New Roman" w:eastAsia="Times New Roman" w:hAnsi="Times New Roman" w:cs="Times New Roman"/>
          <w:i/>
          <w:iCs/>
        </w:rPr>
        <w:t>]</w:t>
      </w:r>
      <w:hyperlink r:id="rId19" w:history="1">
        <w:r>
          <w:rPr>
            <w:rFonts w:ascii="SimSun" w:eastAsia="SimSun" w:hAnsi="SimSun" w:cs="SimSun"/>
            <w:color w:val="0000EE"/>
            <w:u w:val="single" w:color="0000EE"/>
          </w:rPr>
          <w:t>上海旅游高等专科学校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年全国统考招生章程</w:t>
        </w:r>
        <w:r>
          <w:rPr>
            <w:rFonts w:ascii="Times New Roman" w:eastAsia="Times New Roman" w:hAnsi="Times New Roman" w:cs="Times New Roman"/>
            <w:color w:val="0000EE"/>
            <w:u w:val="single" w:color="0000EE"/>
          </w:rPr>
          <w:t xml:space="preserve"> </w:t>
        </w:r>
        <w:r>
          <w:rPr>
            <w:rFonts w:ascii="SimSun" w:eastAsia="SimSun" w:hAnsi="SimSun" w:cs="SimSun"/>
            <w:color w:val="0000EE"/>
            <w:u w:val="single" w:color="0000EE"/>
          </w:rPr>
          <w:t>（秋季统一高考）</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shanghai/2022/0417/22186.html" TargetMode="External" /><Relationship Id="rId11" Type="http://schemas.openxmlformats.org/officeDocument/2006/relationships/hyperlink" Target="http://www.gk114.com/a/gxzs/zszc/shanghai/2022/0406/22075.html" TargetMode="External" /><Relationship Id="rId12" Type="http://schemas.openxmlformats.org/officeDocument/2006/relationships/hyperlink" Target="http://www.gk114.com/a/gxzs/zszc/shanghai/2022/0220/21738.html" TargetMode="External" /><Relationship Id="rId13" Type="http://schemas.openxmlformats.org/officeDocument/2006/relationships/hyperlink" Target="http://www.gk114.com/a/gxzs/zszc/shanghai/2022/0220/21737.html" TargetMode="External" /><Relationship Id="rId14" Type="http://schemas.openxmlformats.org/officeDocument/2006/relationships/hyperlink" Target="http://www.gk114.com/a/gxzs/zszc/shanghai/2022/0220/21736.html" TargetMode="External" /><Relationship Id="rId15" Type="http://schemas.openxmlformats.org/officeDocument/2006/relationships/hyperlink" Target="http://www.gk114.com/a/gxzs/zszc/shanghai/2022/0220/21735.html" TargetMode="External" /><Relationship Id="rId16" Type="http://schemas.openxmlformats.org/officeDocument/2006/relationships/hyperlink" Target="http://www.gk114.com/a/gxzs/zszc/shanghai/2022/0220/21734.html" TargetMode="External" /><Relationship Id="rId17" Type="http://schemas.openxmlformats.org/officeDocument/2006/relationships/hyperlink" Target="http://www.gk114.com/a/gxzs/zszc/shanghai/2021/0609/19802.html" TargetMode="External" /><Relationship Id="rId18" Type="http://schemas.openxmlformats.org/officeDocument/2006/relationships/hyperlink" Target="http://www.gk114.com/a/gxzs/zszc/shanghai/2021/0606/19768.html" TargetMode="External" /><Relationship Id="rId19" Type="http://schemas.openxmlformats.org/officeDocument/2006/relationships/hyperlink" Target="http://www.gk114.com/a/gxzs/zszc/shanghai/2021/0603/19707.html" TargetMode="External" /><Relationship Id="rId2" Type="http://schemas.openxmlformats.org/officeDocument/2006/relationships/webSettings" Target="webSettings.xml" /><Relationship Id="rId20" Type="http://schemas.openxmlformats.org/officeDocument/2006/relationships/theme" Target="theme/theme1.xml" /><Relationship Id="rId21" Type="http://schemas.openxmlformats.org/officeDocument/2006/relationships/numbering" Target="numbering.xml" /><Relationship Id="rId22" Type="http://schemas.openxmlformats.org/officeDocument/2006/relationships/styles" Target="styles.xml" /><Relationship Id="rId3" Type="http://schemas.openxmlformats.org/officeDocument/2006/relationships/fontTable" Target="fontTable.xml" /><Relationship Id="rId4" Type="http://schemas.openxmlformats.org/officeDocument/2006/relationships/hyperlink" Target="http://www.gk114.com/a/gxzs/zszc/shanghai/2019/0630/10362.html" TargetMode="External" /><Relationship Id="rId5" Type="http://schemas.openxmlformats.org/officeDocument/2006/relationships/hyperlink" Target="http://www.gk114.com/a/gxzs/zszc/shanghai/2019/0630/10364.html" TargetMode="External" /><Relationship Id="rId6" Type="http://schemas.openxmlformats.org/officeDocument/2006/relationships/hyperlink" Target="http://www.gk114.com/a/gxzs/zszc/shanghai/" TargetMode="External" /><Relationship Id="rId7" Type="http://schemas.openxmlformats.org/officeDocument/2006/relationships/hyperlink" Target="http://www.gk114.com/a/gxzs/zszc/shanghai/2022/0417/22193.html" TargetMode="External" /><Relationship Id="rId8" Type="http://schemas.openxmlformats.org/officeDocument/2006/relationships/hyperlink" Target="http://www.gk114.com/a/gxzs/zszc/shanghai/2022/0417/22189.html" TargetMode="External" /><Relationship Id="rId9" Type="http://schemas.openxmlformats.org/officeDocument/2006/relationships/hyperlink" Target="http://www.gk114.com/a/gxzs/zszc/shanghai/2022/0417/22188.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