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年宁波财经学院招生章程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为规范招生工作，确保招生工作顺利进行，根据《中华人民共和国教育法》、《中华人民共和国高等教育法》和教育主管部门等有关政策和规定，结合宁波财经学院招生工作的实际情况，特制定本章程。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年宁波财经学院全日制普通本专科招生工作。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学校全称：宁波财经学院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13001</w:t>
      </w:r>
      <w:r>
        <w:rPr>
          <w:rFonts w:ascii="SimSun" w:eastAsia="SimSun" w:hAnsi="SimSun" w:cs="SimSun"/>
        </w:rPr>
        <w:t>，浙江省招生代码：</w:t>
      </w:r>
      <w:r>
        <w:rPr>
          <w:rFonts w:ascii="Times New Roman" w:eastAsia="Times New Roman" w:hAnsi="Times New Roman" w:cs="Times New Roman"/>
        </w:rPr>
        <w:t xml:space="preserve">0074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学历证书：我校培养的本科生在规定年限内达到所在专业毕业要求者，颁发国家教育部统一电子注册的宁波财经学院本科毕业证书；符合学校学士学位授予条件者</w:t>
      </w:r>
      <w:r>
        <w:rPr>
          <w:rFonts w:ascii="Times New Roman" w:eastAsia="Times New Roman" w:hAnsi="Times New Roman" w:cs="Times New Roman"/>
        </w:rPr>
        <w:t>,</w:t>
      </w:r>
      <w:r>
        <w:rPr>
          <w:rFonts w:ascii="SimSun" w:eastAsia="SimSun" w:hAnsi="SimSun" w:cs="SimSun"/>
        </w:rPr>
        <w:t>经学校评定委员会审定，授予宁波财经学院学士学位；专科学生毕业时颁发国家教育部统一电子注册的宁波财经学院专科毕业证书。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办学地点：本部校区：浙江省宁波市海曙区学院路</w:t>
      </w:r>
      <w:r>
        <w:rPr>
          <w:rFonts w:ascii="Times New Roman" w:eastAsia="Times New Roman" w:hAnsi="Times New Roman" w:cs="Times New Roman"/>
        </w:rPr>
        <w:t>899</w:t>
      </w:r>
      <w:r>
        <w:rPr>
          <w:rFonts w:ascii="SimSun" w:eastAsia="SimSun" w:hAnsi="SimSun" w:cs="SimSun"/>
        </w:rPr>
        <w:t>号，邮编：</w:t>
      </w:r>
      <w:r>
        <w:rPr>
          <w:rFonts w:ascii="Times New Roman" w:eastAsia="Times New Roman" w:hAnsi="Times New Roman" w:cs="Times New Roman"/>
        </w:rPr>
        <w:t>315175</w:t>
      </w:r>
      <w:r>
        <w:rPr>
          <w:rFonts w:ascii="SimSun" w:eastAsia="SimSun" w:hAnsi="SimSun" w:cs="SimSun"/>
        </w:rPr>
        <w:t>；杭州湾校区：浙江省宁波市杭州湾新区滨海二路西段博华路</w:t>
      </w:r>
      <w:r>
        <w:rPr>
          <w:rFonts w:ascii="Times New Roman" w:eastAsia="Times New Roman" w:hAnsi="Times New Roman" w:cs="Times New Roman"/>
        </w:rPr>
        <w:t>77</w:t>
      </w:r>
      <w:r>
        <w:rPr>
          <w:rFonts w:ascii="SimSun" w:eastAsia="SimSun" w:hAnsi="SimSun" w:cs="SimSun"/>
        </w:rPr>
        <w:t>号，邮编：</w:t>
      </w:r>
      <w:r>
        <w:rPr>
          <w:rFonts w:ascii="Times New Roman" w:eastAsia="Times New Roman" w:hAnsi="Times New Roman" w:cs="Times New Roman"/>
        </w:rPr>
        <w:t>315327</w:t>
      </w:r>
      <w:r>
        <w:rPr>
          <w:rFonts w:ascii="SimSun" w:eastAsia="SimSun" w:hAnsi="SimSun" w:cs="SimSun"/>
        </w:rPr>
        <w:t>；象山校区：浙江省宁波市象山县大目湾新城。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学校简介：宁波财经学院是一所经国家教育部批准设立的全日制普通本科高校，学校创办于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2015</w:t>
      </w:r>
      <w:r>
        <w:rPr>
          <w:rFonts w:ascii="SimSun" w:eastAsia="SimSun" w:hAnsi="SimSun" w:cs="SimSun"/>
        </w:rPr>
        <w:t>年成为浙江省首批应用型本科建设试点示范高校。学校占地面积约</w:t>
      </w:r>
      <w:r>
        <w:rPr>
          <w:rFonts w:ascii="Times New Roman" w:eastAsia="Times New Roman" w:hAnsi="Times New Roman" w:cs="Times New Roman"/>
        </w:rPr>
        <w:t>1700</w:t>
      </w:r>
      <w:r>
        <w:rPr>
          <w:rFonts w:ascii="SimSun" w:eastAsia="SimSun" w:hAnsi="SimSun" w:cs="SimSun"/>
        </w:rPr>
        <w:t>亩，分为三个校区；在校全日制本科生近</w:t>
      </w:r>
      <w:r>
        <w:rPr>
          <w:rFonts w:ascii="Times New Roman" w:eastAsia="Times New Roman" w:hAnsi="Times New Roman" w:cs="Times New Roman"/>
        </w:rPr>
        <w:t>2</w:t>
      </w:r>
      <w:r>
        <w:rPr>
          <w:rFonts w:ascii="SimSun" w:eastAsia="SimSun" w:hAnsi="SimSun" w:cs="SimSun"/>
        </w:rPr>
        <w:t>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学校注重打造服务区域新经济发展的财经学科特色，现有</w:t>
      </w:r>
      <w:r>
        <w:rPr>
          <w:rFonts w:ascii="Times New Roman" w:eastAsia="Times New Roman" w:hAnsi="Times New Roman" w:cs="Times New Roman"/>
        </w:rPr>
        <w:t>43</w:t>
      </w:r>
      <w:r>
        <w:rPr>
          <w:rFonts w:ascii="SimSun" w:eastAsia="SimSun" w:hAnsi="SimSun" w:cs="SimSun"/>
        </w:rPr>
        <w:t>个本科专业（含大类及方向），</w:t>
      </w:r>
      <w:r>
        <w:rPr>
          <w:rFonts w:ascii="Times New Roman" w:eastAsia="Times New Roman" w:hAnsi="Times New Roman" w:cs="Times New Roman"/>
        </w:rPr>
        <w:t>3</w:t>
      </w:r>
      <w:r>
        <w:rPr>
          <w:rFonts w:ascii="SimSun" w:eastAsia="SimSun" w:hAnsi="SimSun" w:cs="SimSun"/>
        </w:rPr>
        <w:t>个专科专业，形成了以经济、管理学科为主，经、管、工、文、艺等多学科协调发展的学科专业体系，着力培养具有创新精神和创业能力的中小企业中高端技术、管理岗位高素质应用型人才。现有省一流学科</w:t>
      </w:r>
      <w:r>
        <w:rPr>
          <w:rFonts w:ascii="Times New Roman" w:eastAsia="Times New Roman" w:hAnsi="Times New Roman" w:cs="Times New Roman"/>
        </w:rPr>
        <w:t>4</w:t>
      </w:r>
      <w:r>
        <w:rPr>
          <w:rFonts w:ascii="SimSun" w:eastAsia="SimSun" w:hAnsi="SimSun" w:cs="SimSun"/>
        </w:rPr>
        <w:t>个，市重点学科</w:t>
      </w:r>
      <w:r>
        <w:rPr>
          <w:rFonts w:ascii="Times New Roman" w:eastAsia="Times New Roman" w:hAnsi="Times New Roman" w:cs="Times New Roman"/>
        </w:rPr>
        <w:t>5</w:t>
      </w:r>
      <w:r>
        <w:rPr>
          <w:rFonts w:ascii="SimSun" w:eastAsia="SimSun" w:hAnsi="SimSun" w:cs="SimSun"/>
        </w:rPr>
        <w:t>个，省重点专业、优势专业和新兴特色专业建设项目共</w:t>
      </w:r>
      <w:r>
        <w:rPr>
          <w:rFonts w:ascii="Times New Roman" w:eastAsia="Times New Roman" w:hAnsi="Times New Roman" w:cs="Times New Roman"/>
        </w:rPr>
        <w:t>11</w:t>
      </w:r>
      <w:r>
        <w:rPr>
          <w:rFonts w:ascii="SimSun" w:eastAsia="SimSun" w:hAnsi="SimSun" w:cs="SimSun"/>
        </w:rPr>
        <w:t>个，市品牌、特色、优势等重点专业建设项目共</w:t>
      </w:r>
      <w:r>
        <w:rPr>
          <w:rFonts w:ascii="Times New Roman" w:eastAsia="Times New Roman" w:hAnsi="Times New Roman" w:cs="Times New Roman"/>
        </w:rPr>
        <w:t>8</w:t>
      </w:r>
      <w:r>
        <w:rPr>
          <w:rFonts w:ascii="SimSun" w:eastAsia="SimSun" w:hAnsi="SimSun" w:cs="SimSun"/>
        </w:rPr>
        <w:t>个。学校历届毕业生初次就业率均在</w:t>
      </w:r>
      <w:r>
        <w:rPr>
          <w:rFonts w:ascii="Times New Roman" w:eastAsia="Times New Roman" w:hAnsi="Times New Roman" w:cs="Times New Roman"/>
        </w:rPr>
        <w:t>96%</w:t>
      </w:r>
      <w:r>
        <w:rPr>
          <w:rFonts w:ascii="SimSun" w:eastAsia="SimSun" w:hAnsi="SimSun" w:cs="SimSun"/>
        </w:rPr>
        <w:t>以上，毕业生创业率在全省本科院校中名列前茅；学校创业学院被列为</w:t>
      </w:r>
      <w:r>
        <w:rPr>
          <w:rFonts w:ascii="Times New Roman" w:eastAsia="Times New Roman" w:hAnsi="Times New Roman" w:cs="Times New Roman"/>
        </w:rPr>
        <w:t>“</w:t>
      </w:r>
      <w:r>
        <w:rPr>
          <w:rFonts w:ascii="SimSun" w:eastAsia="SimSun" w:hAnsi="SimSun" w:cs="SimSun"/>
        </w:rPr>
        <w:t>浙江省普通高校示范性创业学院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学校成立招生工作领导小组，全面负责学校招生政策和规则的制定，确定招生规模及其它招生重大事项的决策。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学校纪检监察审计处对学校招生录取工作实行全程监督。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根据经济和社会发展对人才的需求趋势及学校自身办学条件，</w:t>
      </w:r>
      <w:r>
        <w:rPr>
          <w:rFonts w:ascii="Times New Roman" w:eastAsia="Times New Roman" w:hAnsi="Times New Roman" w:cs="Times New Roman"/>
        </w:rPr>
        <w:t>2019</w:t>
      </w:r>
      <w:r>
        <w:rPr>
          <w:rFonts w:ascii="SimSun" w:eastAsia="SimSun" w:hAnsi="SimSun" w:cs="SimSun"/>
        </w:rPr>
        <w:t>年学校计划面向浙江、河北、山西、内蒙古、江苏、安徽、福建、江西、河南、湖北、湖南、广东、广西、海南、四川、贵州、云南、陕西、甘肃、新疆等全国</w:t>
      </w:r>
      <w:r>
        <w:rPr>
          <w:rFonts w:ascii="Times New Roman" w:eastAsia="Times New Roman" w:hAnsi="Times New Roman" w:cs="Times New Roman"/>
        </w:rPr>
        <w:t>20</w:t>
      </w:r>
      <w:r>
        <w:rPr>
          <w:rFonts w:ascii="SimSun" w:eastAsia="SimSun" w:hAnsi="SimSun" w:cs="SimSun"/>
        </w:rPr>
        <w:t>个省（自治区）招生，招生计划以各省（自治区）招生主管部门公布为准。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实行部分专业按专业大类招生，入学一年后根据学生志愿，结合在校学习成绩进行专业分流。其中，按类招生的有：设计学类含视觉传达设计、环境设计、产品设计。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学校执行考生所在省（自治区）招生主管部门关于投档的相关规定，并根据当地生源情况，确定调档比例，调档比例原则上控制在</w:t>
      </w:r>
      <w:r>
        <w:rPr>
          <w:rFonts w:ascii="Times New Roman" w:eastAsia="Times New Roman" w:hAnsi="Times New Roman" w:cs="Times New Roman"/>
        </w:rPr>
        <w:t>100-120%</w:t>
      </w:r>
      <w:r>
        <w:rPr>
          <w:rFonts w:ascii="SimSun" w:eastAsia="SimSun" w:hAnsi="SimSun" w:cs="SimSun"/>
        </w:rPr>
        <w:t>。在浙江省调档比例为</w:t>
      </w:r>
      <w:r>
        <w:rPr>
          <w:rFonts w:ascii="Times New Roman" w:eastAsia="Times New Roman" w:hAnsi="Times New Roman" w:cs="Times New Roman"/>
        </w:rPr>
        <w:t>100%</w:t>
      </w:r>
      <w:r>
        <w:rPr>
          <w:rFonts w:ascii="SimSun" w:eastAsia="SimSun" w:hAnsi="SimSun" w:cs="SimSun"/>
        </w:rPr>
        <w:t>，进档考生，只要政审、体检符合条件，均予录取。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对考生的体检要求按照教育部、卫生部、中国残疾人联合会印发的《普通高等学校招生体检工作指导意见》及有关补充规定执行。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学校录取不限外语语种，入学后公共外语教学为英语、日语、韩语，学生可择其一作为自己的公共外语。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学校录取不设单科成绩要求。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学校认同并执行各省（自治区）招生主管部门制定的有关加分或降分投档的政策规定。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严格执行教育部的有关政策规定，坚持德、智、体全面衡量，以文化考试成绩作为主要录取依据，择优录取的原则。学校优先录取第一院校志愿（或者平行志愿）的考生，执行考生所在省（市、自治区）招生办公室（教育考试院）关于志愿投档顺序的有关规定。如第一院校志愿（或者平行志愿）不能满足招生计划时，则按照考生所在省（市、自治区）招生办公室（教育考试院）规定依次进行后续志愿（或者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浙江省按新高考录取政策执行，根据考生高考总分，以考生符合所填报志愿的选考科目范围为前提实行专业平行志愿投档，对进档考生直接录取到考生所选的专业（类）。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其它招生省份对进档的考生，专业志愿间不设分数级差。专业录取按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录取，即先按考生所填报的第一专业志愿从高分到低分录取。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艺术类招生录取办法：我校美术类、影视表演类、编导类、播音主持类、摄制类等的艺术专业均采用各省艺术类专业统考成绩，不另行组织校考，报考对象和条件参照各省艺术类统考安排和要求执行，以生源所在省统考投档录取规则为准，如生源所在省未定录取规则，则按照以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、美术类：按照考生专业成绩从高到低择优录取，若专业成绩相同，则按照高考文化课成绩从高到低录取。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、影视表演类：按照考生专业成绩从高到低择优录取，若专业成绩相同，则按照高考文化课成绩从高到低录取。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、播音主持类：按照考生专业成绩从高到低择优录取，若专业成绩相同，则按照高考文化课成绩从高到低录取。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、编导类：按照考生文化课成绩从高到低择优录取，若文化课成绩相同，则按照专业成绩从高到低录取。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、摄制类：按照考生文化课成绩从高到低择优录取，若文化课成绩相同，则按照专业成绩从高到低录取。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综合评价招生按照《宁波财经学院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学校录取结果按照教育部和各省（市、自治区）的有关要求及规定进行公布。考生可登陆学校招生网查询。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入学复查、收费和资助等事项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学校收费严格按照浙江省物价部门备案的标准执行。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学年：表演、广播电视编导；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学年：视觉传达设计（中韩</w:t>
      </w:r>
      <w:r>
        <w:rPr>
          <w:rFonts w:ascii="Times New Roman" w:eastAsia="Times New Roman" w:hAnsi="Times New Roman" w:cs="Times New Roman"/>
        </w:rPr>
        <w:t>2+2</w:t>
      </w:r>
      <w:r>
        <w:rPr>
          <w:rFonts w:ascii="SimSun" w:eastAsia="SimSun" w:hAnsi="SimSun" w:cs="SimSun"/>
        </w:rPr>
        <w:t>学分互认班）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31000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学年：工商管理（中斯</w:t>
      </w:r>
      <w:r>
        <w:rPr>
          <w:rFonts w:ascii="Times New Roman" w:eastAsia="Times New Roman" w:hAnsi="Times New Roman" w:cs="Times New Roman"/>
        </w:rPr>
        <w:t>2+2</w:t>
      </w:r>
      <w:r>
        <w:rPr>
          <w:rFonts w:ascii="SimSun" w:eastAsia="SimSun" w:hAnsi="SimSun" w:cs="SimSun"/>
        </w:rPr>
        <w:t>学分互认班）、财务管理（中美</w:t>
      </w:r>
      <w:r>
        <w:rPr>
          <w:rFonts w:ascii="Times New Roman" w:eastAsia="Times New Roman" w:hAnsi="Times New Roman" w:cs="Times New Roman"/>
        </w:rPr>
        <w:t>2+2</w:t>
      </w:r>
      <w:r>
        <w:rPr>
          <w:rFonts w:ascii="SimSun" w:eastAsia="SimSun" w:hAnsi="SimSun" w:cs="SimSun"/>
        </w:rPr>
        <w:t>学分互认班）；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学年：戏剧影视文学、播音与主持艺术、设计学类（视觉传达设计、环境设计、产品设计）、数字媒体艺术、动画；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学年：财务管理、财务管理（家族财富管理方向）、会计学、审计学、国际经济与贸易、国际经济与贸易（大宗商品交易方向）、金融工程、电子商务、国际商务、工商管理、工商管理（创业管理方向）；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据科学与大数据技术、文化产业管理、信息管理与信息系统、物流管理、市场营销、工业设计、机械设计制造及其自动化、机械电子工程、电气工程及其自动化、工业工程、计算机科学与技术、软件工程、日语、英语、商务英语、汉语国际教育、秘书学、广告学、广播电视学、编辑出版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学年：戏剧影视表演（高职）；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学年：播音与主持（高职）、广播影视节目制作（高职）；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住宿费：六人间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代管费：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学校设有国家奖学金、国家励志奖学金、校长奖学金、单项奖学金和各类专项奖学金，实行国家助学金、国家助学贷款、勤工助学、困难补助等资助政策，开通经济困难新生入学报到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学校不委托任何中介机构或个人进行招生录取工作，不收取国家规定外的任何费用。任何以我校名义进行非法招生宣传等活动的中介机构或个人，学校保留依法追究其责任的权利。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宁波财经学院招生网：</w:t>
      </w:r>
      <w:r>
        <w:rPr>
          <w:rFonts w:ascii="Times New Roman" w:eastAsia="Times New Roman" w:hAnsi="Times New Roman" w:cs="Times New Roman"/>
        </w:rPr>
        <w:t xml:space="preserve">http://www.nbdhyu.edu.cn/zsb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招生官微：</w:t>
      </w:r>
      <w:r>
        <w:rPr>
          <w:rFonts w:ascii="Times New Roman" w:eastAsia="Times New Roman" w:hAnsi="Times New Roman" w:cs="Times New Roman"/>
        </w:rPr>
        <w:t xml:space="preserve"> nbdhyzsb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招生办联系电话：</w:t>
      </w:r>
      <w:r>
        <w:rPr>
          <w:rFonts w:ascii="Times New Roman" w:eastAsia="Times New Roman" w:hAnsi="Times New Roman" w:cs="Times New Roman"/>
        </w:rPr>
        <w:t>0574-88052238</w:t>
      </w:r>
      <w:r>
        <w:rPr>
          <w:rFonts w:ascii="SimSun" w:eastAsia="SimSun" w:hAnsi="SimSun" w:cs="SimSun"/>
        </w:rPr>
        <w:t>，</w:t>
      </w:r>
      <w:r>
        <w:rPr>
          <w:rFonts w:ascii="Times New Roman" w:eastAsia="Times New Roman" w:hAnsi="Times New Roman" w:cs="Times New Roman"/>
        </w:rPr>
        <w:t xml:space="preserve">88052239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0574-88052238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纪检监察审计处电话：</w:t>
      </w:r>
      <w:r>
        <w:rPr>
          <w:rFonts w:ascii="Times New Roman" w:eastAsia="Times New Roman" w:hAnsi="Times New Roman" w:cs="Times New Roman"/>
        </w:rPr>
        <w:t xml:space="preserve">0574-88044810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通讯地址：宁波市海曙区学院路</w:t>
      </w:r>
      <w:r>
        <w:rPr>
          <w:rFonts w:ascii="Times New Roman" w:eastAsia="Times New Roman" w:hAnsi="Times New Roman" w:cs="Times New Roman"/>
        </w:rPr>
        <w:t>899</w:t>
      </w:r>
      <w:r>
        <w:rPr>
          <w:rFonts w:ascii="SimSun" w:eastAsia="SimSun" w:hAnsi="SimSun" w:cs="SimSun"/>
        </w:rPr>
        <w:t>号宁波财经学院招生办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315175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本章程由宁波财经学院授权宁波财经学院招生办公室解释。本章程若与国家和省的规定不一致，以国家和省的规定为准。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衢州职业技术学院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义乌工商职业技术学院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3.html" TargetMode="External" /><Relationship Id="rId11" Type="http://schemas.openxmlformats.org/officeDocument/2006/relationships/hyperlink" Target="http://www.gk114.com/a/gxzs/zszc/zhejiang/2019/0630/10422.html" TargetMode="External" /><Relationship Id="rId12" Type="http://schemas.openxmlformats.org/officeDocument/2006/relationships/hyperlink" Target="http://www.gk114.com/a/gxzs/zszc/zhejiang/2019/0630/10421.html" TargetMode="External" /><Relationship Id="rId13" Type="http://schemas.openxmlformats.org/officeDocument/2006/relationships/hyperlink" Target="http://www.gk114.com/a/gxzs/zszc/zhejiang/2019/0630/10420.html" TargetMode="External" /><Relationship Id="rId14" Type="http://schemas.openxmlformats.org/officeDocument/2006/relationships/hyperlink" Target="http://www.gk114.com/a/gxzs/zszc/zhejiang/2019/0630/10419.html" TargetMode="External" /><Relationship Id="rId15" Type="http://schemas.openxmlformats.org/officeDocument/2006/relationships/hyperlink" Target="http://www.gk114.com/a/gxzs/zszc/zhejiang/2019/0630/10418.html" TargetMode="External" /><Relationship Id="rId16" Type="http://schemas.openxmlformats.org/officeDocument/2006/relationships/hyperlink" Target="http://www.gk114.com/a/gxzs/zszc/zhejiang/2019/0630/104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hyperlink" Target="http://www.gk114.com/a/gxzs/zszc/zhejiang/2019/0222/6618.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6.html" TargetMode="External" /><Relationship Id="rId5" Type="http://schemas.openxmlformats.org/officeDocument/2006/relationships/hyperlink" Target="http://www.gk114.com/a/gxzs/zszc/zhejiang/2019/0630/1040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27.html" TargetMode="External" /><Relationship Id="rId8" Type="http://schemas.openxmlformats.org/officeDocument/2006/relationships/hyperlink" Target="http://www.gk114.com/a/gxzs/zszc/zhejiang/2019/0630/10426.html" TargetMode="External" /><Relationship Id="rId9" Type="http://schemas.openxmlformats.org/officeDocument/2006/relationships/hyperlink" Target="http://www.gk114.com/a/gxzs/zszc/zhejiang/2019/0630/10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