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年长春健康职业学院招生章程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w:t>
      </w:r>
      <w:r>
        <w:rPr>
          <w:rFonts w:ascii="Times New Roman" w:eastAsia="Times New Roman" w:hAnsi="Times New Roman" w:cs="Times New Roman"/>
        </w:rPr>
        <w:t>2019</w:t>
      </w:r>
      <w:r>
        <w:rPr>
          <w:rFonts w:ascii="SimSun" w:eastAsia="SimSun" w:hAnsi="SimSun" w:cs="SimSun"/>
        </w:rPr>
        <w:t>年招生工作，依据《中华人民共和国教育法》、《中华人民共和国高等教育法》等法律法规以及教育部有关规定，制定长春健康职业学院高考招生章程。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第二条本章程适用于我校</w:t>
      </w:r>
      <w:r>
        <w:rPr>
          <w:rFonts w:ascii="Times New Roman" w:eastAsia="Times New Roman" w:hAnsi="Times New Roman" w:cs="Times New Roman"/>
        </w:rPr>
        <w:t>2019</w:t>
      </w:r>
      <w:r>
        <w:rPr>
          <w:rFonts w:ascii="SimSun" w:eastAsia="SimSun" w:hAnsi="SimSun" w:cs="SimSun"/>
        </w:rPr>
        <w:t>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学校全称：长春健康职业学院。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办学类型：普通高等职业教育。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学校办学地址：吉林省长春市高新区锦河街</w:t>
      </w:r>
      <w:r>
        <w:rPr>
          <w:rFonts w:ascii="Times New Roman" w:eastAsia="Times New Roman" w:hAnsi="Times New Roman" w:cs="Times New Roman"/>
        </w:rPr>
        <w:t>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第八条学费收取标准：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（一）护理专业学费标准为每生每学年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（二）中医养生保健专业学费标准为每生每学年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（三）康复治疗技术专业学费标准为每生每学年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（四）食品营养与检测专业专业学费标准为每生每学年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（五）休闲体育专业学费标准为每生每学年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（六）电子竞技运动与管理专业为每生每学年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（七）早期教育专业学费标准为每生每学年</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（八）医学美容技术专业学费标准为每生每学年</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（九）健康管理专业学费标准为每生每学年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（十）学前教育专业学费标准为每生每年</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（十一）老年保健与管理专业学费标准为每生每</w:t>
      </w:r>
      <w:r>
        <w:rPr>
          <w:rFonts w:ascii="Times New Roman" w:eastAsia="Times New Roman" w:hAnsi="Times New Roman" w:cs="Times New Roman"/>
        </w:rPr>
        <w:t>10500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（十二）大数据技术与应用专业学费标准为每生每年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（十三）家政服务与管理专业学费标准为每生每年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（十四）智能产品开发专业学费标准为每生每年</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第九条学生完成培养方案要求的教学内容，成绩合格，符合毕业条件，高职毕业生由长春健康职业学院颁发国家规定的专科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困难学生资助政策及手续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设立学校奖学金。学校推行以勤工助学为主导，以国家助学贷款为主要形式的助学措施。经济困难学生主要通过国家助学贷款的方式来解决学习和生活困难，对于特别困难的学生，学校视情况会给予其它方式的资助，主要包括以下几个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学校奖学金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具体工作的开展依据《长春健康职业学院国家奖助学金管理办法》执行。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期间学习和生活基本费用的学生。学生需向学校申报家庭经济困难，由学校根据有关部门设置的标准和规定的程序、以民主评议方式认定。学校会依据学生家庭经济困难认定结果，按照资助政策相关规定予以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第十二条其他有关高校家庭经济困难学生资助政策具体内容详见《高等学校学生资助政策简介》，此《简介》每年统一由全国学生资助管理中心印制，随录取通知书邮寄至每名新生手中。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第十三条专业培养对外语的要求：各专业统考外语语种不限。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第十四条招收男女生比例的要求：各专业男女不限。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第十五条身体及健康状况要求：执行教育部、卫生部、中国残疾人联合会制订并下发的《普通高等学校招生体检工作指导意见》及相关补充规定。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校招生录取工作遵循公平竞争、公正选拔、公开程序的原则。执行国家教育部和各省、自治区、直辖市招生委员会制定的录取政策，以及本章程公布的有关规定。以考生填报的志愿和高考文化课成绩为主要录取依据，德智体美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w:t>
      </w:r>
      <w:r>
        <w:rPr>
          <w:rFonts w:ascii="SimSun" w:eastAsia="SimSun" w:hAnsi="SimSun" w:cs="SimSun"/>
        </w:rPr>
        <w:t>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以内。如生源省份投档比例有特殊规定的，按生源省份投档比例要求执行。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w:t>
      </w:r>
      <w:r>
        <w:rPr>
          <w:rFonts w:ascii="Times New Roman" w:eastAsia="Times New Roman" w:hAnsi="Times New Roman" w:cs="Times New Roman"/>
        </w:rPr>
        <w:t>)</w:t>
      </w:r>
      <w:r>
        <w:rPr>
          <w:rFonts w:ascii="SimSun" w:eastAsia="SimSun" w:hAnsi="SimSun" w:cs="SimSun"/>
        </w:rPr>
        <w:t>根据考生报考志愿，优先录取第一志愿的考生</w:t>
      </w:r>
      <w:r>
        <w:rPr>
          <w:rFonts w:ascii="Times New Roman" w:eastAsia="Times New Roman" w:hAnsi="Times New Roman" w:cs="Times New Roman"/>
        </w:rPr>
        <w:t>;</w:t>
      </w:r>
      <w:r>
        <w:rPr>
          <w:rFonts w:ascii="SimSun" w:eastAsia="SimSun" w:hAnsi="SimSun" w:cs="SimSun"/>
        </w:rPr>
        <w:t>如第一志愿未完成招生计划，依次录取二、三志愿及平行志愿考生。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w:t>
      </w:r>
      <w:r>
        <w:rPr>
          <w:rFonts w:ascii="Times New Roman" w:eastAsia="Times New Roman" w:hAnsi="Times New Roman" w:cs="Times New Roman"/>
        </w:rPr>
        <w:t>)</w:t>
      </w:r>
      <w:r>
        <w:rPr>
          <w:rFonts w:ascii="SimSun" w:eastAsia="SimSun" w:hAnsi="SimSun" w:cs="SimSun"/>
        </w:rPr>
        <w:t>对进档考生的专业安排，实行</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原则予以录取：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对于进档考生，根据考生专业志愿，按照高考成绩从高分到低分择优录取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对于进档考生，不能满足其进第一志愿的，按其第二专业志愿录取，仍不能满足的按其第三专业志愿录取，以此类推。当某考生所有专业志愿均不能满足时，服从专业调剂的考生，将其调录到录取未满计划的专业，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同等条件下，专业相关科目成绩高者优先录取</w:t>
      </w:r>
      <w:r>
        <w:rPr>
          <w:rFonts w:ascii="Times New Roman" w:eastAsia="Times New Roman" w:hAnsi="Times New Roman" w:cs="Times New Roman"/>
        </w:rPr>
        <w:t>,</w:t>
      </w:r>
      <w:r>
        <w:rPr>
          <w:rFonts w:ascii="SimSun" w:eastAsia="SimSun" w:hAnsi="SimSun" w:cs="SimSun"/>
        </w:rPr>
        <w:t>如志愿、分数皆相同的情况下，文史类依次按考生的语文、外语、文综、数学的成绩从高分到低分录取</w:t>
      </w:r>
      <w:r>
        <w:rPr>
          <w:rFonts w:ascii="Times New Roman" w:eastAsia="Times New Roman" w:hAnsi="Times New Roman" w:cs="Times New Roman"/>
        </w:rPr>
        <w:t>;</w:t>
      </w:r>
      <w:r>
        <w:rPr>
          <w:rFonts w:ascii="SimSun" w:eastAsia="SimSun" w:hAnsi="SimSun" w:cs="SimSun"/>
        </w:rPr>
        <w:t>理工类依次按考生的数学、外语、理综、语文的成绩从高分到低分录取。其中如个别专业生源计划不足时，服从专业调剂的考生按成绩随机录取到计划未满专业</w:t>
      </w:r>
      <w:r>
        <w:rPr>
          <w:rFonts w:ascii="Times New Roman" w:eastAsia="Times New Roman" w:hAnsi="Times New Roman" w:cs="Times New Roman"/>
        </w:rPr>
        <w:t>;</w:t>
      </w:r>
      <w:r>
        <w:rPr>
          <w:rFonts w:ascii="SimSun" w:eastAsia="SimSun" w:hAnsi="SimSun" w:cs="SimSun"/>
        </w:rPr>
        <w:t>对所报志愿未被录取且不服从调剂的考生，将作退档处理。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学校网址：</w:t>
      </w:r>
      <w:r>
        <w:rPr>
          <w:rFonts w:ascii="Times New Roman" w:eastAsia="Times New Roman" w:hAnsi="Times New Roman" w:cs="Times New Roman"/>
        </w:rPr>
        <w:t xml:space="preserve">www.ccvch.com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通讯地址：长春市高新区锦河街</w:t>
      </w:r>
      <w:r>
        <w:rPr>
          <w:rFonts w:ascii="Times New Roman" w:eastAsia="Times New Roman" w:hAnsi="Times New Roman" w:cs="Times New Roman"/>
        </w:rPr>
        <w:t>155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联系电话：</w:t>
      </w:r>
      <w:r>
        <w:rPr>
          <w:rFonts w:ascii="Times New Roman" w:eastAsia="Times New Roman" w:hAnsi="Times New Roman" w:cs="Times New Roman"/>
        </w:rPr>
        <w:t xml:space="preserve">0431-85183111 </w:t>
      </w:r>
      <w:r>
        <w:rPr>
          <w:rFonts w:ascii="SimSun" w:eastAsia="SimSun" w:hAnsi="SimSun" w:cs="SimSun"/>
        </w:rPr>
        <w:t>、</w:t>
      </w:r>
      <w:r>
        <w:rPr>
          <w:rFonts w:ascii="Times New Roman" w:eastAsia="Times New Roman" w:hAnsi="Times New Roman" w:cs="Times New Roman"/>
        </w:rPr>
        <w:t xml:space="preserve">0431-82538000;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联系人：刘老师、成老师。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本章程未尽事宜，按照国家招生及生源地招生主管部门政策执行。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延边职业技术学院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长白山职业技术学院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长春建筑学院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3.html" TargetMode="External" /><Relationship Id="rId11" Type="http://schemas.openxmlformats.org/officeDocument/2006/relationships/hyperlink" Target="http://www.gk114.com/a/gxzs/zszc/liaoning/2019/0625/10222.html" TargetMode="External" /><Relationship Id="rId12" Type="http://schemas.openxmlformats.org/officeDocument/2006/relationships/hyperlink" Target="http://www.gk114.com/a/gxzs/zszc/liaoning/2019/0625/10221.html" TargetMode="External" /><Relationship Id="rId13" Type="http://schemas.openxmlformats.org/officeDocument/2006/relationships/hyperlink" Target="http://www.gk114.com/a/gxzs/zszc/liaoning/2019/0625/10220.html" TargetMode="External" /><Relationship Id="rId14" Type="http://schemas.openxmlformats.org/officeDocument/2006/relationships/hyperlink" Target="http://www.gk114.com/a/gxzs/zszc/liaoning/2019/0625/10219.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7.html" TargetMode="External" /><Relationship Id="rId5" Type="http://schemas.openxmlformats.org/officeDocument/2006/relationships/hyperlink" Target="http://www.gk114.com/a/gxzs/zszc/liaoning/2019/0625/1022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6.html" TargetMode="External" /><Relationship Id="rId8" Type="http://schemas.openxmlformats.org/officeDocument/2006/relationships/hyperlink" Target="http://www.gk114.com/a/gxzs/zszc/liaoning/2019/0625/10225.html" TargetMode="External" /><Relationship Id="rId9" Type="http://schemas.openxmlformats.org/officeDocument/2006/relationships/hyperlink" Target="http://www.gk114.com/a/gxzs/zszc/liaoning/2019/0625/102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