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年青海师范大学招生章程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6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sz w:val="30"/>
          <w:szCs w:val="30"/>
        </w:rPr>
        <w:t>第一章 总则</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第一条</w:t>
      </w:r>
      <w:r>
        <w:rPr>
          <w:rFonts w:ascii="Calibri" w:eastAsia="Calibri" w:hAnsi="Calibri" w:cs="Calibri"/>
          <w:color w:val="666666"/>
          <w:sz w:val="30"/>
          <w:szCs w:val="30"/>
        </w:rPr>
        <w:t> </w:t>
      </w:r>
      <w:r>
        <w:rPr>
          <w:rFonts w:ascii="Microsoft YaHei" w:eastAsia="Microsoft YaHei" w:hAnsi="Microsoft YaHei" w:cs="Microsoft YaHei"/>
          <w:color w:val="666666"/>
          <w:sz w:val="27"/>
          <w:szCs w:val="27"/>
        </w:rPr>
        <w:t> </w:t>
      </w:r>
      <w:r>
        <w:rPr>
          <w:rFonts w:ascii="FangSong" w:eastAsia="FangSong" w:hAnsi="FangSong" w:cs="FangSong"/>
          <w:color w:val="666666"/>
          <w:sz w:val="30"/>
          <w:szCs w:val="30"/>
        </w:rPr>
        <w:t>根据《中华人民共和国教育法》《中华人民共和国高等教育法》等相关法律法规，</w:t>
      </w:r>
      <w:r>
        <w:rPr>
          <w:rFonts w:ascii="FangSong" w:eastAsia="FangSong" w:hAnsi="FangSong" w:cs="FangSong"/>
          <w:color w:val="666666"/>
          <w:sz w:val="30"/>
          <w:szCs w:val="30"/>
        </w:rPr>
        <w:t>依照教育部及省级招生委员会的有关规定和《青海师范大学章程》，为保证全日制普通本科招生工作（以下简称招生工作）顺利进行，维护学校和考生合法权益，制定本章程。</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第二条</w:t>
      </w:r>
      <w:r>
        <w:rPr>
          <w:rFonts w:ascii="Microsoft YaHei" w:eastAsia="Microsoft YaHei" w:hAnsi="Microsoft YaHei" w:cs="Microsoft YaHei"/>
          <w:b/>
          <w:bCs/>
          <w:color w:val="666666"/>
          <w:sz w:val="30"/>
          <w:szCs w:val="30"/>
        </w:rPr>
        <w:t>  </w:t>
      </w:r>
      <w:r>
        <w:rPr>
          <w:rFonts w:ascii="FangSong" w:eastAsia="FangSong" w:hAnsi="FangSong" w:cs="FangSong"/>
          <w:color w:val="666666"/>
          <w:sz w:val="30"/>
          <w:szCs w:val="30"/>
        </w:rPr>
        <w:t>我校招生工作贯彻“公平、公正、公开、择优录取”原则。招生工作接受上级主管部门、校内相关机构、考生及社会各界的监督。</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第三条</w:t>
      </w:r>
      <w:r>
        <w:rPr>
          <w:rFonts w:ascii="Microsoft YaHei" w:eastAsia="Microsoft YaHei" w:hAnsi="Microsoft YaHei" w:cs="Microsoft YaHei"/>
          <w:b/>
          <w:bCs/>
          <w:color w:val="666666"/>
          <w:sz w:val="27"/>
          <w:szCs w:val="27"/>
        </w:rPr>
        <w:t>  </w:t>
      </w:r>
      <w:r>
        <w:rPr>
          <w:rFonts w:ascii="FangSong" w:eastAsia="FangSong" w:hAnsi="FangSong" w:cs="FangSong"/>
          <w:color w:val="666666"/>
          <w:sz w:val="30"/>
          <w:szCs w:val="30"/>
        </w:rPr>
        <w:t>在规定的年限内达到所在专业毕业要求者，颁发青海师范大学本科毕业证书；符合学校学位授予有关规定者，颁发普通高等教育本科毕业生学士学位证书。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36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sz w:val="30"/>
          <w:szCs w:val="30"/>
        </w:rPr>
        <w:t>第二章 办学地点</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第四条</w:t>
      </w:r>
      <w:r>
        <w:rPr>
          <w:rFonts w:ascii="Calibri" w:eastAsia="Calibri" w:hAnsi="Calibri" w:cs="Calibri"/>
          <w:color w:val="666666"/>
          <w:sz w:val="30"/>
          <w:szCs w:val="30"/>
        </w:rPr>
        <w:t>  </w:t>
      </w:r>
      <w:r>
        <w:rPr>
          <w:rFonts w:ascii="FangSong" w:eastAsia="FangSong" w:hAnsi="FangSong" w:cs="FangSong"/>
          <w:color w:val="666666"/>
          <w:sz w:val="30"/>
          <w:szCs w:val="30"/>
        </w:rPr>
        <w:t>城北校区：青海省西宁市城北区海湖大道延长段38号;城西校区：青海省西宁市城西五四西路38号。</w:t>
      </w:r>
    </w:p>
    <w:p>
      <w:pPr>
        <w:pBdr>
          <w:top w:val="none" w:sz="0" w:space="0" w:color="auto"/>
          <w:left w:val="none" w:sz="0" w:space="0" w:color="auto"/>
          <w:bottom w:val="none" w:sz="0" w:space="0" w:color="auto"/>
          <w:right w:val="none" w:sz="0" w:space="0" w:color="auto"/>
        </w:pBdr>
        <w:spacing w:before="0" w:after="0" w:line="36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sz w:val="30"/>
          <w:szCs w:val="30"/>
        </w:rPr>
        <w:t>第三章 办学性质</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第五条</w:t>
      </w:r>
      <w:r>
        <w:rPr>
          <w:rFonts w:ascii="Calibri" w:eastAsia="Calibri" w:hAnsi="Calibri" w:cs="Calibri"/>
          <w:color w:val="666666"/>
          <w:sz w:val="30"/>
          <w:szCs w:val="30"/>
        </w:rPr>
        <w:t>  </w:t>
      </w:r>
      <w:r>
        <w:rPr>
          <w:rFonts w:ascii="FangSong" w:eastAsia="FangSong" w:hAnsi="FangSong" w:cs="FangSong"/>
          <w:color w:val="666666"/>
          <w:sz w:val="30"/>
          <w:szCs w:val="30"/>
        </w:rPr>
        <w:t>青海师范大学为青海省省属普通高等院校。</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第六条</w:t>
      </w:r>
      <w:r>
        <w:rPr>
          <w:rFonts w:ascii="Calibri" w:eastAsia="Calibri" w:hAnsi="Calibri" w:cs="Calibri"/>
          <w:color w:val="666666"/>
          <w:sz w:val="30"/>
          <w:szCs w:val="30"/>
        </w:rPr>
        <w:t>  </w:t>
      </w:r>
      <w:r>
        <w:rPr>
          <w:rFonts w:ascii="FangSong" w:eastAsia="FangSong" w:hAnsi="FangSong" w:cs="FangSong"/>
          <w:color w:val="666666"/>
          <w:sz w:val="30"/>
          <w:szCs w:val="30"/>
        </w:rPr>
        <w:t>青海师范大学主管部门为青海省教育厅。</w:t>
      </w:r>
    </w:p>
    <w:p>
      <w:pPr>
        <w:pBdr>
          <w:top w:val="none" w:sz="0" w:space="0" w:color="auto"/>
          <w:left w:val="none" w:sz="0" w:space="0" w:color="auto"/>
          <w:bottom w:val="none" w:sz="0" w:space="0" w:color="auto"/>
          <w:right w:val="none" w:sz="0" w:space="0" w:color="auto"/>
        </w:pBdr>
        <w:spacing w:before="0" w:after="0" w:line="36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sz w:val="30"/>
          <w:szCs w:val="30"/>
        </w:rPr>
        <w:t>第四章</w:t>
      </w:r>
      <w:r>
        <w:rPr>
          <w:rFonts w:ascii="Calibri" w:eastAsia="Calibri" w:hAnsi="Calibri" w:cs="Calibri"/>
          <w:color w:val="666666"/>
          <w:sz w:val="30"/>
          <w:szCs w:val="30"/>
        </w:rPr>
        <w:t>  </w:t>
      </w:r>
      <w:r>
        <w:rPr>
          <w:rFonts w:ascii="SimHei" w:eastAsia="SimHei" w:hAnsi="SimHei" w:cs="SimHei"/>
          <w:color w:val="666666"/>
          <w:sz w:val="30"/>
          <w:szCs w:val="30"/>
        </w:rPr>
        <w:t>招生机构</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第七条</w:t>
      </w:r>
      <w:r>
        <w:rPr>
          <w:rFonts w:ascii="Microsoft YaHei" w:eastAsia="Microsoft YaHei" w:hAnsi="Microsoft YaHei" w:cs="Microsoft YaHei"/>
          <w:color w:val="666666"/>
          <w:sz w:val="27"/>
          <w:szCs w:val="27"/>
        </w:rPr>
        <w:t>  </w:t>
      </w:r>
      <w:r>
        <w:rPr>
          <w:rFonts w:ascii="FangSong" w:eastAsia="FangSong" w:hAnsi="FangSong" w:cs="FangSong"/>
          <w:color w:val="666666"/>
          <w:sz w:val="30"/>
          <w:szCs w:val="30"/>
        </w:rPr>
        <w:t>青海师范大学设立招生委员会，全面负责学校招生工作，制定招生政策、招生计划，决定有关招生的重大事宜。</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第八条</w:t>
      </w:r>
      <w:r>
        <w:rPr>
          <w:rFonts w:ascii="Microsoft YaHei" w:eastAsia="Microsoft YaHei" w:hAnsi="Microsoft YaHei" w:cs="Microsoft YaHei"/>
          <w:color w:val="666666"/>
          <w:sz w:val="27"/>
          <w:szCs w:val="27"/>
        </w:rPr>
        <w:t>  </w:t>
      </w:r>
      <w:r>
        <w:rPr>
          <w:rFonts w:ascii="FangSong" w:eastAsia="FangSong" w:hAnsi="FangSong" w:cs="FangSong"/>
          <w:color w:val="666666"/>
          <w:sz w:val="30"/>
          <w:szCs w:val="30"/>
        </w:rPr>
        <w:t>青海师范大学招生办公室是组织和实施招生工作的执行机构，负责招生的日常工作。其主要职责是：严格执行教育部有关招生工作的政策及各省级招生委员会的补充规定和实施细则，认真落实学校招生委员会有关招生工作的决议和工作要求；积极开展招生宣传、咨询等服务工作，实事求是地向考生和家长介绍本校情况和招生政策；客观、公正地完成招生录取工作；完成学校交办的其他有关工作。</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第九条</w:t>
      </w:r>
      <w:r>
        <w:rPr>
          <w:rFonts w:ascii="Calibri" w:eastAsia="Calibri" w:hAnsi="Calibri" w:cs="Calibri"/>
          <w:color w:val="666666"/>
          <w:sz w:val="30"/>
          <w:szCs w:val="30"/>
        </w:rPr>
        <w:t>  </w:t>
      </w:r>
      <w:r>
        <w:rPr>
          <w:rFonts w:ascii="FangSong" w:eastAsia="FangSong" w:hAnsi="FangSong" w:cs="FangSong"/>
          <w:color w:val="666666"/>
          <w:sz w:val="30"/>
          <w:szCs w:val="30"/>
        </w:rPr>
        <w:t>学校纪委（监察审计处）对招生工作实施监督。</w:t>
      </w:r>
    </w:p>
    <w:p>
      <w:pPr>
        <w:pBdr>
          <w:top w:val="none" w:sz="0" w:space="0" w:color="auto"/>
          <w:left w:val="none" w:sz="0" w:space="0" w:color="auto"/>
          <w:bottom w:val="none" w:sz="0" w:space="0" w:color="auto"/>
          <w:right w:val="none" w:sz="0" w:space="0" w:color="auto"/>
        </w:pBdr>
        <w:spacing w:before="0" w:after="0" w:line="36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sz w:val="30"/>
          <w:szCs w:val="30"/>
        </w:rPr>
        <w:t>第五章 录取条件</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第十</w:t>
      </w:r>
      <w:r>
        <w:rPr>
          <w:rFonts w:ascii="SimHei" w:eastAsia="SimHei" w:hAnsi="SimHei" w:cs="SimHei"/>
          <w:color w:val="666666"/>
          <w:sz w:val="30"/>
          <w:szCs w:val="30"/>
        </w:rPr>
        <w:t>条</w:t>
      </w:r>
      <w:r>
        <w:rPr>
          <w:rFonts w:ascii="FangSong" w:eastAsia="FangSong" w:hAnsi="FangSong" w:cs="FangSong"/>
          <w:color w:val="666666"/>
          <w:sz w:val="30"/>
          <w:szCs w:val="30"/>
        </w:rPr>
        <w:t>青海师范大学面向全国招生，根据优化生源结构、促进区域均衡的原则，</w:t>
      </w:r>
      <w:r>
        <w:rPr>
          <w:rFonts w:ascii="FangSong" w:eastAsia="FangSong" w:hAnsi="FangSong" w:cs="FangSong"/>
          <w:color w:val="666666"/>
          <w:sz w:val="30"/>
          <w:szCs w:val="30"/>
        </w:rPr>
        <w:t>按照教育部及各省级招生委员会相关文件要求，统筹考虑各省考生人数、生源质量等情况，确定来源计划，招生计划以各省级招生机构公布为准。</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第十一条</w:t>
      </w:r>
      <w:r>
        <w:rPr>
          <w:rFonts w:ascii="Calibri" w:eastAsia="Calibri" w:hAnsi="Calibri" w:cs="Calibri"/>
          <w:color w:val="666666"/>
          <w:sz w:val="30"/>
          <w:szCs w:val="30"/>
        </w:rPr>
        <w:t>  </w:t>
      </w:r>
      <w:r>
        <w:rPr>
          <w:rFonts w:ascii="FangSong" w:eastAsia="FangSong" w:hAnsi="FangSong" w:cs="FangSong"/>
          <w:color w:val="666666"/>
          <w:sz w:val="30"/>
          <w:szCs w:val="30"/>
        </w:rPr>
        <w:t>考试须</w:t>
      </w:r>
      <w:r>
        <w:rPr>
          <w:rFonts w:ascii="FangSong" w:eastAsia="FangSong" w:hAnsi="FangSong" w:cs="FangSong"/>
          <w:color w:val="666666"/>
          <w:sz w:val="30"/>
          <w:szCs w:val="30"/>
        </w:rPr>
        <w:t>在相应批次报考我校专业且资格审核、体检合格、高考成绩符合所在省级招委会划定录取</w:t>
      </w:r>
      <w:hyperlink r:id="rId4" w:tgtFrame="_blank" w:history="1">
        <w:r>
          <w:rPr>
            <w:rFonts w:ascii="FangSong" w:eastAsia="FangSong" w:hAnsi="FangSong" w:cs="FangSong"/>
            <w:color w:val="000000"/>
            <w:sz w:val="30"/>
            <w:szCs w:val="30"/>
            <w:u w:val="single" w:color="666666"/>
          </w:rPr>
          <w:t>分数线</w:t>
        </w:r>
      </w:hyperlink>
      <w:r>
        <w:rPr>
          <w:rFonts w:ascii="FangSong" w:eastAsia="FangSong" w:hAnsi="FangSong" w:cs="FangSong"/>
          <w:color w:val="666666"/>
          <w:sz w:val="30"/>
          <w:szCs w:val="30"/>
        </w:rPr>
        <w:t>，报考体育类、艺术类的考生须专业测试合格。</w:t>
      </w:r>
    </w:p>
    <w:p>
      <w:pPr>
        <w:pBdr>
          <w:top w:val="none" w:sz="0" w:space="0" w:color="auto"/>
          <w:left w:val="none" w:sz="0" w:space="0" w:color="auto"/>
          <w:bottom w:val="none" w:sz="0" w:space="0" w:color="auto"/>
          <w:right w:val="none" w:sz="0" w:space="0" w:color="auto"/>
        </w:pBdr>
        <w:spacing w:before="0" w:after="0" w:line="36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sz w:val="30"/>
          <w:szCs w:val="30"/>
        </w:rPr>
        <w:t>第六章 录取原则</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第十二条</w:t>
      </w:r>
      <w:r>
        <w:rPr>
          <w:rFonts w:ascii="Microsoft YaHei" w:eastAsia="Microsoft YaHei" w:hAnsi="Microsoft YaHei" w:cs="Microsoft YaHei"/>
          <w:color w:val="666666"/>
          <w:sz w:val="27"/>
          <w:szCs w:val="27"/>
        </w:rPr>
        <w:t>  </w:t>
      </w:r>
      <w:r>
        <w:rPr>
          <w:rFonts w:ascii="FangSong" w:eastAsia="FangSong" w:hAnsi="FangSong" w:cs="FangSong"/>
          <w:color w:val="666666"/>
          <w:sz w:val="30"/>
          <w:szCs w:val="30"/>
        </w:rPr>
        <w:t>总原则为根据我校招生计划及考生志愿按省级招生机构投档成绩由高分到低分录取。</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第十三条</w:t>
      </w:r>
      <w:r>
        <w:rPr>
          <w:rFonts w:ascii="Microsoft YaHei" w:eastAsia="Microsoft YaHei" w:hAnsi="Microsoft YaHei" w:cs="Microsoft YaHei"/>
          <w:b/>
          <w:bCs/>
          <w:color w:val="666666"/>
          <w:sz w:val="27"/>
          <w:szCs w:val="27"/>
        </w:rPr>
        <w:t>  </w:t>
      </w:r>
      <w:r>
        <w:rPr>
          <w:rFonts w:ascii="FangSong" w:eastAsia="FangSong" w:hAnsi="FangSong" w:cs="FangSong"/>
          <w:color w:val="666666"/>
          <w:sz w:val="30"/>
          <w:szCs w:val="30"/>
        </w:rPr>
        <w:t>体育教育专业录取原则为专业课和文化课考试成绩均达到规定分数线，按文化课成绩由高分到低分排序，择优录取。高水平运动员、体育单招考生的录取按教育部、国家体育总局有关规定执行。考生身高、视力等不得低于教育部及省级招委会有关规定。</w:t>
      </w:r>
    </w:p>
    <w:p>
      <w:pPr>
        <w:pBdr>
          <w:top w:val="none" w:sz="0" w:space="0" w:color="auto"/>
          <w:left w:val="none" w:sz="0" w:space="0" w:color="auto"/>
          <w:bottom w:val="none" w:sz="0" w:space="0" w:color="auto"/>
          <w:right w:val="none" w:sz="0" w:space="0" w:color="auto"/>
        </w:pBdr>
        <w:spacing w:before="0" w:after="0" w:line="360" w:lineRule="atLeast"/>
        <w:ind w:left="0" w:right="0" w:firstLine="420"/>
        <w:rPr>
          <w:rFonts w:ascii="Microsoft YaHei" w:eastAsia="Microsoft YaHei" w:hAnsi="Microsoft YaHei" w:cs="Microsoft YaHei"/>
          <w:color w:val="666666"/>
          <w:sz w:val="21"/>
          <w:szCs w:val="21"/>
        </w:rPr>
      </w:pPr>
      <w:r>
        <w:rPr>
          <w:rFonts w:ascii="SimHei" w:eastAsia="SimHei" w:hAnsi="SimHei" w:cs="SimHei"/>
          <w:color w:val="666666"/>
          <w:sz w:val="30"/>
          <w:szCs w:val="30"/>
        </w:rPr>
        <w:t>第十四条</w:t>
      </w:r>
      <w:r>
        <w:rPr>
          <w:rFonts w:ascii="Calibri" w:eastAsia="Calibri" w:hAnsi="Calibri" w:cs="Calibri"/>
          <w:color w:val="666666"/>
          <w:sz w:val="30"/>
          <w:szCs w:val="30"/>
        </w:rPr>
        <w:t>  </w:t>
      </w:r>
      <w:r>
        <w:rPr>
          <w:rFonts w:ascii="FangSong" w:eastAsia="FangSong" w:hAnsi="FangSong" w:cs="FangSong"/>
          <w:color w:val="666666"/>
          <w:sz w:val="30"/>
          <w:szCs w:val="30"/>
        </w:rPr>
        <w:t>专业测试成绩合格，报考美术类专业、音乐类专业、舞蹈学专业、播音与主持艺术专业，文化课考试成绩达到所在省（市、区）艺术类本科录取控制分数线的进档考生，按专业课成绩由高分到低分排序，择优录取。</w:t>
      </w:r>
    </w:p>
    <w:p>
      <w:pPr>
        <w:pBdr>
          <w:top w:val="none" w:sz="0" w:space="0" w:color="auto"/>
          <w:left w:val="none" w:sz="0" w:space="0" w:color="auto"/>
          <w:bottom w:val="none" w:sz="0" w:space="0" w:color="auto"/>
          <w:right w:val="none" w:sz="0" w:space="0" w:color="auto"/>
        </w:pBdr>
        <w:spacing w:before="0" w:after="0" w:line="360" w:lineRule="atLeast"/>
        <w:ind w:left="0" w:right="0" w:firstLine="420"/>
        <w:rPr>
          <w:rFonts w:ascii="Microsoft YaHei" w:eastAsia="Microsoft YaHei" w:hAnsi="Microsoft YaHei" w:cs="Microsoft YaHei"/>
          <w:color w:val="666666"/>
          <w:sz w:val="21"/>
          <w:szCs w:val="21"/>
        </w:rPr>
      </w:pPr>
      <w:r>
        <w:rPr>
          <w:rFonts w:ascii="SimHei" w:eastAsia="SimHei" w:hAnsi="SimHei" w:cs="SimHei"/>
          <w:color w:val="666666"/>
          <w:sz w:val="30"/>
          <w:szCs w:val="30"/>
        </w:rPr>
        <w:t>第十五条</w:t>
      </w:r>
      <w:r>
        <w:rPr>
          <w:rFonts w:ascii="Microsoft YaHei" w:eastAsia="Microsoft YaHei" w:hAnsi="Microsoft YaHei" w:cs="Microsoft YaHei"/>
          <w:color w:val="666666"/>
          <w:sz w:val="27"/>
          <w:szCs w:val="27"/>
        </w:rPr>
        <w:t>  </w:t>
      </w:r>
      <w:r>
        <w:rPr>
          <w:rFonts w:ascii="FangSong" w:eastAsia="FangSong" w:hAnsi="FangSong" w:cs="FangSong"/>
          <w:color w:val="666666"/>
          <w:sz w:val="30"/>
          <w:szCs w:val="30"/>
        </w:rPr>
        <w:t>所有专业考生的语种要求为英语。</w:t>
      </w:r>
    </w:p>
    <w:p>
      <w:pPr>
        <w:pBdr>
          <w:top w:val="none" w:sz="0" w:space="0" w:color="auto"/>
          <w:left w:val="none" w:sz="0" w:space="0" w:color="auto"/>
          <w:bottom w:val="none" w:sz="0" w:space="0" w:color="auto"/>
          <w:right w:val="none" w:sz="0" w:space="0" w:color="auto"/>
        </w:pBdr>
        <w:spacing w:before="0" w:after="0" w:line="360" w:lineRule="atLeast"/>
        <w:ind w:left="0" w:right="0" w:firstLine="420"/>
        <w:rPr>
          <w:rFonts w:ascii="Microsoft YaHei" w:eastAsia="Microsoft YaHei" w:hAnsi="Microsoft YaHei" w:cs="Microsoft YaHei"/>
          <w:color w:val="666666"/>
          <w:sz w:val="21"/>
          <w:szCs w:val="21"/>
        </w:rPr>
      </w:pPr>
      <w:r>
        <w:rPr>
          <w:rFonts w:ascii="SimHei" w:eastAsia="SimHei" w:hAnsi="SimHei" w:cs="SimHei"/>
          <w:color w:val="666666"/>
          <w:sz w:val="30"/>
          <w:szCs w:val="30"/>
        </w:rPr>
        <w:t>第十六条</w:t>
      </w:r>
      <w:r>
        <w:rPr>
          <w:rFonts w:ascii="Microsoft YaHei" w:eastAsia="Microsoft YaHei" w:hAnsi="Microsoft YaHei" w:cs="Microsoft YaHei"/>
          <w:color w:val="666666"/>
          <w:sz w:val="27"/>
          <w:szCs w:val="27"/>
        </w:rPr>
        <w:t>  </w:t>
      </w:r>
      <w:r>
        <w:rPr>
          <w:rFonts w:ascii="FangSong" w:eastAsia="FangSong" w:hAnsi="FangSong" w:cs="FangSong"/>
          <w:color w:val="666666"/>
          <w:sz w:val="30"/>
          <w:szCs w:val="30"/>
        </w:rPr>
        <w:t>相关考试科目成绩特别优秀的考生，总分相同情况下优先录取。</w:t>
      </w:r>
    </w:p>
    <w:p>
      <w:pPr>
        <w:pBdr>
          <w:top w:val="none" w:sz="0" w:space="0" w:color="auto"/>
          <w:left w:val="none" w:sz="0" w:space="0" w:color="auto"/>
          <w:bottom w:val="none" w:sz="0" w:space="0" w:color="auto"/>
          <w:right w:val="none" w:sz="0" w:space="0" w:color="auto"/>
        </w:pBdr>
        <w:spacing w:before="0" w:after="0" w:line="360" w:lineRule="atLeast"/>
        <w:ind w:left="0" w:right="0" w:firstLine="420"/>
        <w:rPr>
          <w:rFonts w:ascii="Microsoft YaHei" w:eastAsia="Microsoft YaHei" w:hAnsi="Microsoft YaHei" w:cs="Microsoft YaHei"/>
          <w:color w:val="666666"/>
          <w:sz w:val="21"/>
          <w:szCs w:val="21"/>
        </w:rPr>
      </w:pPr>
      <w:r>
        <w:rPr>
          <w:rFonts w:ascii="SimHei" w:eastAsia="SimHei" w:hAnsi="SimHei" w:cs="SimHei"/>
          <w:color w:val="666666"/>
          <w:sz w:val="30"/>
          <w:szCs w:val="30"/>
        </w:rPr>
        <w:t>第十七条</w:t>
      </w:r>
      <w:r>
        <w:rPr>
          <w:rFonts w:ascii="Calibri" w:eastAsia="Calibri" w:hAnsi="Calibri" w:cs="Calibri"/>
          <w:color w:val="666666"/>
          <w:sz w:val="30"/>
          <w:szCs w:val="30"/>
        </w:rPr>
        <w:t>  </w:t>
      </w:r>
      <w:r>
        <w:rPr>
          <w:rFonts w:ascii="FangSong" w:eastAsia="FangSong" w:hAnsi="FangSong" w:cs="FangSong"/>
          <w:color w:val="666666"/>
          <w:sz w:val="30"/>
          <w:szCs w:val="30"/>
        </w:rPr>
        <w:t>在顺序志愿投档批次中，</w:t>
      </w:r>
      <w:r>
        <w:rPr>
          <w:rFonts w:ascii="FangSong" w:eastAsia="FangSong" w:hAnsi="FangSong" w:cs="FangSong"/>
          <w:color w:val="666666"/>
          <w:sz w:val="30"/>
          <w:szCs w:val="30"/>
        </w:rPr>
        <w:t>对进档考生的专业安排根据考生专业志愿优先，由高分到低分排序，择优录取。所填报专业录取满额且志愿无法满足时，若服从专业调剂，则可在未录取满额的其他专业中进行调剂；若不服从专业调剂，则予以退档；在平行志愿投档批次中，仍按上述规则录取。</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第十八条</w:t>
      </w:r>
      <w:r>
        <w:rPr>
          <w:rFonts w:ascii="Microsoft YaHei" w:eastAsia="Microsoft YaHei" w:hAnsi="Microsoft YaHei" w:cs="Microsoft YaHei"/>
          <w:color w:val="666666"/>
          <w:sz w:val="27"/>
          <w:szCs w:val="27"/>
        </w:rPr>
        <w:t>  </w:t>
      </w:r>
      <w:r>
        <w:rPr>
          <w:rFonts w:ascii="FangSong" w:eastAsia="FangSong" w:hAnsi="FangSong" w:cs="FangSong"/>
          <w:color w:val="666666"/>
          <w:sz w:val="30"/>
          <w:szCs w:val="30"/>
        </w:rPr>
        <w:t>报考本科英语专业的考生英语单科成绩要求90分以上。</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第十九条</w:t>
      </w:r>
      <w:r>
        <w:rPr>
          <w:rFonts w:ascii="Calibri" w:eastAsia="Calibri" w:hAnsi="Calibri" w:cs="Calibri"/>
          <w:color w:val="666666"/>
          <w:sz w:val="30"/>
          <w:szCs w:val="30"/>
        </w:rPr>
        <w:t>  </w:t>
      </w:r>
      <w:r>
        <w:rPr>
          <w:rFonts w:ascii="FangSong" w:eastAsia="FangSong" w:hAnsi="FangSong" w:cs="FangSong"/>
          <w:color w:val="666666"/>
          <w:sz w:val="30"/>
          <w:szCs w:val="30"/>
        </w:rPr>
        <w:t>各专业录取的体检标准执行教育部、卫生部、中国残疾人联合会共同颁布的《普通高等学校招生体检工作指导意见》。</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第二十条</w:t>
      </w:r>
      <w:r>
        <w:rPr>
          <w:rFonts w:ascii="Calibri" w:eastAsia="Calibri" w:hAnsi="Calibri" w:cs="Calibri"/>
          <w:color w:val="666666"/>
          <w:sz w:val="30"/>
          <w:szCs w:val="30"/>
        </w:rPr>
        <w:t>  </w:t>
      </w:r>
      <w:r>
        <w:rPr>
          <w:rFonts w:ascii="FangSong" w:eastAsia="FangSong" w:hAnsi="FangSong" w:cs="FangSong"/>
          <w:color w:val="666666"/>
          <w:sz w:val="30"/>
          <w:szCs w:val="30"/>
        </w:rPr>
        <w:t>对符合加分或降分条件考生，按省级招委会规定执行。</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第二十一条</w:t>
      </w:r>
      <w:r>
        <w:rPr>
          <w:rFonts w:ascii="Calibri" w:eastAsia="Calibri" w:hAnsi="Calibri" w:cs="Calibri"/>
          <w:color w:val="666666"/>
          <w:sz w:val="30"/>
          <w:szCs w:val="30"/>
        </w:rPr>
        <w:t>  </w:t>
      </w:r>
      <w:r>
        <w:rPr>
          <w:rFonts w:ascii="FangSong" w:eastAsia="FangSong" w:hAnsi="FangSong" w:cs="FangSong"/>
          <w:color w:val="666666"/>
          <w:sz w:val="30"/>
          <w:szCs w:val="30"/>
        </w:rPr>
        <w:t>当生源不足时，本校可对招生专业计划给予调整。</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 xml:space="preserve">第二十二条 </w:t>
      </w:r>
      <w:r>
        <w:rPr>
          <w:rFonts w:ascii="Calibri" w:eastAsia="Calibri" w:hAnsi="Calibri" w:cs="Calibri"/>
          <w:color w:val="666666"/>
          <w:sz w:val="30"/>
          <w:szCs w:val="30"/>
        </w:rPr>
        <w:t> </w:t>
      </w:r>
      <w:r>
        <w:rPr>
          <w:rFonts w:ascii="FangSong" w:eastAsia="FangSong" w:hAnsi="FangSong" w:cs="FangSong"/>
          <w:color w:val="666666"/>
          <w:sz w:val="30"/>
          <w:szCs w:val="30"/>
        </w:rPr>
        <w:t>本校所有专业无往届生、应届生限制；无男、女比例限制。</w:t>
      </w:r>
    </w:p>
    <w:p>
      <w:pPr>
        <w:pBdr>
          <w:top w:val="none" w:sz="0" w:space="0" w:color="auto"/>
          <w:left w:val="none" w:sz="0" w:space="0" w:color="auto"/>
          <w:bottom w:val="none" w:sz="0" w:space="0" w:color="auto"/>
          <w:right w:val="none" w:sz="0" w:space="0" w:color="auto"/>
        </w:pBdr>
        <w:spacing w:before="0" w:after="0" w:line="36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sz w:val="30"/>
          <w:szCs w:val="30"/>
        </w:rPr>
        <w:t>第七章</w:t>
      </w:r>
      <w:r>
        <w:rPr>
          <w:rFonts w:ascii="Calibri" w:eastAsia="Calibri" w:hAnsi="Calibri" w:cs="Calibri"/>
          <w:color w:val="666666"/>
          <w:sz w:val="30"/>
          <w:szCs w:val="30"/>
        </w:rPr>
        <w:t>  </w:t>
      </w:r>
      <w:r>
        <w:rPr>
          <w:rFonts w:ascii="SimHei" w:eastAsia="SimHei" w:hAnsi="SimHei" w:cs="SimHei"/>
          <w:color w:val="666666"/>
          <w:sz w:val="30"/>
          <w:szCs w:val="30"/>
        </w:rPr>
        <w:t>附则</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第二十三条</w:t>
      </w:r>
      <w:r>
        <w:rPr>
          <w:rFonts w:ascii="Calibri" w:eastAsia="Calibri" w:hAnsi="Calibri" w:cs="Calibri"/>
          <w:color w:val="666666"/>
          <w:sz w:val="30"/>
          <w:szCs w:val="30"/>
        </w:rPr>
        <w:t> </w:t>
      </w:r>
      <w:r>
        <w:rPr>
          <w:rFonts w:ascii="FangSong" w:eastAsia="FangSong" w:hAnsi="FangSong" w:cs="FangSong"/>
          <w:color w:val="666666"/>
          <w:sz w:val="30"/>
          <w:szCs w:val="30"/>
        </w:rPr>
        <w:t>我校按照《青海省发展和改革委员会、青海省财政厅、青海省教育厅关于调整公办普通高等教育学费标准及试行学分制收费办法等有关事项的通知》（青发改价格〔2018〕471号）核定批准收取学费和住宿费。</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865"/>
        <w:gridCol w:w="7840"/>
        <w:gridCol w:w="1750"/>
        <w:gridCol w:w="1750"/>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05"/>
        </w:trPr>
        <w:tc>
          <w:tcPr>
            <w:tcW w:w="2595"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rPr>
              <w:t>类型</w:t>
            </w:r>
          </w:p>
        </w:tc>
        <w:tc>
          <w:tcPr>
            <w:tcW w:w="3170" w:type="dxa"/>
            <w:vMerge w:val="restart"/>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rPr>
              <w:t>学科/专业</w:t>
            </w:r>
          </w:p>
        </w:tc>
        <w:tc>
          <w:tcPr>
            <w:tcW w:w="276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rPr>
              <w:t>学费标准</w:t>
            </w:r>
          </w:p>
        </w:tc>
      </w:tr>
      <w:tr>
        <w:tblPrEx>
          <w:tblW w:w="14325" w:type="dxa"/>
          <w:tblInd w:w="165" w:type="dxa"/>
          <w:tblCellMar>
            <w:top w:w="0" w:type="dxa"/>
            <w:left w:w="0" w:type="dxa"/>
            <w:bottom w:w="0" w:type="dxa"/>
            <w:right w:w="0" w:type="dxa"/>
          </w:tblCellMar>
        </w:tblPrEx>
        <w:trPr>
          <w:trHeight w:val="40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SimSun" w:eastAsia="SimSun" w:hAnsi="SimSun" w:cs="SimSun"/>
                <w:b/>
                <w:bCs/>
                <w:i w:val="0"/>
                <w:iCs w:val="0"/>
                <w:smallCaps w:val="0"/>
                <w:color w:val="333333"/>
              </w:rPr>
            </w:pPr>
          </w:p>
        </w:tc>
        <w:tc>
          <w:tcPr>
            <w:vMerge/>
            <w:tcBorders>
              <w:top w:val="single" w:sz="24" w:space="0" w:color="000000"/>
              <w:bottom w:val="single" w:sz="24" w:space="0" w:color="000000"/>
              <w:right w:val="single" w:sz="24" w:space="0" w:color="000000"/>
            </w:tcBorders>
            <w:vAlign w:val="center"/>
            <w:hideMark/>
          </w:tcPr>
          <w:p>
            <w:pPr>
              <w:rPr>
                <w:rFonts w:ascii="SimSun" w:eastAsia="SimSun" w:hAnsi="SimSun" w:cs="SimSun"/>
                <w:b/>
                <w:bCs/>
                <w:i w:val="0"/>
                <w:iCs w:val="0"/>
                <w:smallCaps w:val="0"/>
                <w:color w:val="333333"/>
              </w:rPr>
            </w:pP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rPr>
              <w:t>本科</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rPr>
              <w:t>专科</w:t>
            </w:r>
          </w:p>
        </w:tc>
      </w:tr>
      <w:tr>
        <w:tblPrEx>
          <w:tblW w:w="14325" w:type="dxa"/>
          <w:tblInd w:w="165" w:type="dxa"/>
          <w:tblCellMar>
            <w:top w:w="0" w:type="dxa"/>
            <w:left w:w="0" w:type="dxa"/>
            <w:bottom w:w="0" w:type="dxa"/>
            <w:right w:w="0" w:type="dxa"/>
          </w:tblCellMar>
        </w:tblPrEx>
        <w:trPr>
          <w:trHeight w:val="315"/>
        </w:trPr>
        <w:tc>
          <w:tcPr>
            <w:tcW w:w="259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普通非师范</w:t>
            </w: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文经类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3820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3460</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文经类（外语）</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4140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3750</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理学类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4180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3820</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工学类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4420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4060</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艺术类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6350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5570</w:t>
            </w:r>
          </w:p>
        </w:tc>
      </w:tr>
      <w:tr>
        <w:tblPrEx>
          <w:tblW w:w="14325" w:type="dxa"/>
          <w:tblInd w:w="165" w:type="dxa"/>
          <w:tblCellMar>
            <w:top w:w="0" w:type="dxa"/>
            <w:left w:w="0" w:type="dxa"/>
            <w:bottom w:w="0" w:type="dxa"/>
            <w:right w:w="0" w:type="dxa"/>
          </w:tblCellMar>
        </w:tblPrEx>
        <w:trPr>
          <w:trHeight w:val="315"/>
        </w:trPr>
        <w:tc>
          <w:tcPr>
            <w:tcW w:w="259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普通师范</w:t>
            </w: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文经类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3100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2740</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文经类（外语）</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3360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2970</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理学类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3340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2980</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工学类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3580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3220</w:t>
            </w:r>
          </w:p>
        </w:tc>
      </w:tr>
      <w:tr>
        <w:tblPrEx>
          <w:tblW w:w="14325" w:type="dxa"/>
          <w:tblInd w:w="165" w:type="dxa"/>
          <w:tblCellMar>
            <w:top w:w="0" w:type="dxa"/>
            <w:left w:w="0" w:type="dxa"/>
            <w:bottom w:w="0" w:type="dxa"/>
            <w:right w:w="0" w:type="dxa"/>
          </w:tblCellMar>
        </w:tblPrEx>
        <w:trPr>
          <w:trHeight w:val="3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艺术类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5180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4790</w:t>
            </w:r>
          </w:p>
        </w:tc>
      </w:tr>
      <w:tr>
        <w:tblPrEx>
          <w:tblW w:w="14325" w:type="dxa"/>
          <w:tblInd w:w="165" w:type="dxa"/>
          <w:tblCellMar>
            <w:top w:w="0" w:type="dxa"/>
            <w:left w:w="0" w:type="dxa"/>
            <w:bottom w:w="0" w:type="dxa"/>
            <w:right w:w="0" w:type="dxa"/>
          </w:tblCellMar>
        </w:tblPrEx>
        <w:trPr>
          <w:trHeight w:val="375"/>
        </w:trPr>
        <w:tc>
          <w:tcPr>
            <w:tcW w:w="259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普通高职</w:t>
            </w: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文经类</w:t>
            </w:r>
          </w:p>
        </w:tc>
        <w:tc>
          <w:tcPr>
            <w:tcW w:w="276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3700</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理工艺类</w:t>
            </w:r>
          </w:p>
        </w:tc>
        <w:tc>
          <w:tcPr>
            <w:tcW w:w="276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4180</w:t>
            </w:r>
          </w:p>
        </w:tc>
      </w:tr>
      <w:tr>
        <w:tblPrEx>
          <w:tblW w:w="14325" w:type="dxa"/>
          <w:tblInd w:w="165" w:type="dxa"/>
          <w:tblCellMar>
            <w:top w:w="0" w:type="dxa"/>
            <w:left w:w="0" w:type="dxa"/>
            <w:bottom w:w="0" w:type="dxa"/>
            <w:right w:w="0" w:type="dxa"/>
          </w:tblCellMar>
        </w:tblPrEx>
        <w:trPr>
          <w:trHeight w:val="510"/>
        </w:trPr>
        <w:tc>
          <w:tcPr>
            <w:tcW w:w="25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普通预科</w:t>
            </w: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预科生</w:t>
            </w:r>
          </w:p>
        </w:tc>
        <w:tc>
          <w:tcPr>
            <w:tcW w:w="276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3100</w:t>
            </w:r>
          </w:p>
        </w:tc>
      </w:tr>
      <w:tr>
        <w:tblPrEx>
          <w:tblW w:w="14325" w:type="dxa"/>
          <w:tblInd w:w="165" w:type="dxa"/>
          <w:tblCellMar>
            <w:top w:w="0" w:type="dxa"/>
            <w:left w:w="0" w:type="dxa"/>
            <w:bottom w:w="0" w:type="dxa"/>
            <w:right w:w="0" w:type="dxa"/>
          </w:tblCellMar>
        </w:tblPrEx>
        <w:trPr>
          <w:trHeight w:val="630"/>
        </w:trPr>
        <w:tc>
          <w:tcPr>
            <w:tcW w:w="259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校企合作专业</w:t>
            </w:r>
            <w:r>
              <w:rPr>
                <w:rFonts w:ascii="SimSun" w:eastAsia="SimSun" w:hAnsi="SimSun" w:cs="SimSun"/>
                <w:b w:val="0"/>
                <w:bCs w:val="0"/>
                <w:i w:val="0"/>
                <w:iCs w:val="0"/>
                <w:smallCaps w:val="0"/>
                <w:color w:val="666666"/>
                <w:sz w:val="23"/>
                <w:szCs w:val="23"/>
              </w:rPr>
              <w:br/>
            </w:r>
            <w:r>
              <w:rPr>
                <w:rFonts w:ascii="SimSun" w:eastAsia="SimSun" w:hAnsi="SimSun" w:cs="SimSun"/>
                <w:b w:val="0"/>
                <w:bCs w:val="0"/>
                <w:i w:val="0"/>
                <w:iCs w:val="0"/>
                <w:smallCaps w:val="0"/>
                <w:color w:val="666666"/>
                <w:sz w:val="23"/>
                <w:szCs w:val="23"/>
              </w:rPr>
              <w:t> （非师范）</w:t>
            </w: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电子信息工程、物联网工程、计算机科学与技术、网络工程</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9800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63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新闻学、数字媒体艺术、网络与新媒体</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9800</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645"/>
        </w:trPr>
        <w:tc>
          <w:tcPr>
            <w:tcW w:w="25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rPr>
              <w:t>成都校区</w:t>
            </w:r>
            <w:r>
              <w:rPr>
                <w:rFonts w:ascii="SimSun" w:eastAsia="SimSun" w:hAnsi="SimSun" w:cs="SimSun"/>
                <w:b w:val="0"/>
                <w:bCs w:val="0"/>
                <w:i w:val="0"/>
                <w:iCs w:val="0"/>
                <w:smallCaps w:val="0"/>
                <w:color w:val="333333"/>
              </w:rPr>
              <w:br/>
            </w:r>
            <w:r>
              <w:rPr>
                <w:rFonts w:ascii="SimSun" w:eastAsia="SimSun" w:hAnsi="SimSun" w:cs="SimSun"/>
                <w:b w:val="0"/>
                <w:bCs w:val="0"/>
                <w:i w:val="0"/>
                <w:iCs w:val="0"/>
                <w:smallCaps w:val="0"/>
                <w:color w:val="333333"/>
              </w:rPr>
              <w:t> （联合办学）</w:t>
            </w:r>
          </w:p>
        </w:tc>
        <w:tc>
          <w:tcPr>
            <w:tcW w:w="31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专科生</w:t>
            </w:r>
          </w:p>
        </w:tc>
        <w:tc>
          <w:tcPr>
            <w:tcW w:w="276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4960</w:t>
            </w:r>
          </w:p>
        </w:tc>
      </w:tr>
    </w:tbl>
    <w:p>
      <w:pPr>
        <w:pBdr>
          <w:top w:val="none" w:sz="0" w:space="0" w:color="auto"/>
          <w:left w:val="none" w:sz="0" w:space="0" w:color="auto"/>
          <w:bottom w:val="none" w:sz="0" w:space="0" w:color="auto"/>
          <w:right w:val="none" w:sz="0" w:space="0" w:color="auto"/>
        </w:pBdr>
        <w:spacing w:before="150" w:after="150" w:line="300" w:lineRule="atLeast"/>
        <w:ind w:left="0" w:right="0" w:firstLine="10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注：住宿费标准为</w:t>
      </w:r>
      <w:r>
        <w:rPr>
          <w:rFonts w:ascii="Arial" w:eastAsia="Arial" w:hAnsi="Arial" w:cs="Arial"/>
          <w:color w:val="666666"/>
          <w:sz w:val="21"/>
          <w:szCs w:val="21"/>
        </w:rPr>
        <w:t>600-1200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375"/>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SimHei" w:eastAsia="SimHei" w:hAnsi="SimHei" w:cs="SimHei"/>
          <w:color w:val="666666"/>
          <w:sz w:val="30"/>
          <w:szCs w:val="30"/>
        </w:rPr>
        <w:t>第二十四条</w:t>
      </w:r>
      <w:r>
        <w:rPr>
          <w:rFonts w:ascii="Calibri" w:eastAsia="Calibri" w:hAnsi="Calibri" w:cs="Calibri"/>
          <w:b/>
          <w:bCs/>
          <w:color w:val="666666"/>
          <w:sz w:val="30"/>
          <w:szCs w:val="30"/>
        </w:rPr>
        <w:t>  </w:t>
      </w:r>
      <w:r>
        <w:rPr>
          <w:rFonts w:ascii="FangSong" w:eastAsia="FangSong" w:hAnsi="FangSong" w:cs="FangSong"/>
          <w:color w:val="666666"/>
          <w:sz w:val="30"/>
          <w:szCs w:val="30"/>
        </w:rPr>
        <w:t>联系地址：青海省西宁市城北区海湖大道延长段38号青海师范大学招生办公室，电话（传真）：0971－6318787，网址：</w:t>
      </w:r>
      <w:r>
        <w:rPr>
          <w:rFonts w:ascii="Microsoft YaHei" w:eastAsia="Microsoft YaHei" w:hAnsi="Microsoft YaHei" w:cs="Microsoft YaHei"/>
          <w:color w:val="666666"/>
          <w:sz w:val="21"/>
          <w:szCs w:val="21"/>
        </w:rPr>
        <w:t>Http://zsb.qhnu.edu.cn</w:t>
      </w:r>
      <w:r>
        <w:rPr>
          <w:rFonts w:ascii="FangSong" w:eastAsia="FangSong" w:hAnsi="FangSong" w:cs="FangSong"/>
          <w:color w:val="666666"/>
          <w:sz w:val="30"/>
          <w:szCs w:val="30"/>
        </w:rPr>
        <w:t>，Email:zsb1@qhnu.edu.cn。</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第二十五条</w:t>
      </w:r>
      <w:r>
        <w:rPr>
          <w:rFonts w:ascii="Calibri" w:eastAsia="Calibri" w:hAnsi="Calibri" w:cs="Calibri"/>
          <w:color w:val="666666"/>
          <w:sz w:val="30"/>
          <w:szCs w:val="30"/>
        </w:rPr>
        <w:t>  </w:t>
      </w:r>
      <w:r>
        <w:rPr>
          <w:rFonts w:ascii="FangSong" w:eastAsia="FangSong" w:hAnsi="FangSong" w:cs="FangSong"/>
          <w:color w:val="666666"/>
          <w:sz w:val="30"/>
          <w:szCs w:val="30"/>
        </w:rPr>
        <w:t>本章程自公布之日起执行。其他我校有关招生工作的规定与本章程不一致的，以本章程为准。本章程若与国家和省（市、区）有关政策相抵触，以国家和省（市、区）有关政策为准。</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333333"/>
          <w:sz w:val="30"/>
          <w:szCs w:val="30"/>
        </w:rPr>
        <w:t>第二十六条</w:t>
      </w:r>
      <w:r>
        <w:rPr>
          <w:rFonts w:ascii="Calibri" w:eastAsia="Calibri" w:hAnsi="Calibri" w:cs="Calibri"/>
          <w:b/>
          <w:bCs/>
          <w:color w:val="333333"/>
          <w:sz w:val="30"/>
          <w:szCs w:val="30"/>
        </w:rPr>
        <w:t>  </w:t>
      </w:r>
      <w:r>
        <w:rPr>
          <w:rFonts w:ascii="FangSong" w:eastAsia="FangSong" w:hAnsi="FangSong" w:cs="FangSong"/>
          <w:color w:val="333333"/>
          <w:sz w:val="30"/>
          <w:szCs w:val="30"/>
        </w:rPr>
        <w:t>本章程未尽事宜，由青海师范大学招生委员会根据国家招生政策及有关规定进行补充。</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666666"/>
          <w:sz w:val="30"/>
          <w:szCs w:val="30"/>
        </w:rPr>
        <w:t>第二十七条</w:t>
      </w:r>
      <w:r>
        <w:rPr>
          <w:rFonts w:ascii="Calibri" w:eastAsia="Calibri" w:hAnsi="Calibri" w:cs="Calibri"/>
          <w:color w:val="666666"/>
          <w:sz w:val="30"/>
          <w:szCs w:val="30"/>
        </w:rPr>
        <w:t> </w:t>
      </w:r>
      <w:r>
        <w:rPr>
          <w:rFonts w:ascii="FangSong" w:eastAsia="FangSong" w:hAnsi="FangSong" w:cs="FangSong"/>
          <w:color w:val="666666"/>
          <w:sz w:val="30"/>
          <w:szCs w:val="30"/>
        </w:rPr>
        <w:t>如遇教育部、部分省份高考招生政策调整，我校将根据相关政策相应修订。</w:t>
      </w:r>
    </w:p>
    <w:p>
      <w:pPr>
        <w:pBdr>
          <w:top w:val="none" w:sz="0" w:space="0" w:color="auto"/>
          <w:left w:val="none" w:sz="0" w:space="0" w:color="auto"/>
          <w:bottom w:val="none" w:sz="0" w:space="0" w:color="auto"/>
          <w:right w:val="none" w:sz="0" w:space="0" w:color="auto"/>
        </w:pBdr>
        <w:spacing w:before="0" w:after="0" w:line="360" w:lineRule="atLeast"/>
        <w:ind w:left="0" w:right="0" w:firstLine="480"/>
        <w:rPr>
          <w:rFonts w:ascii="Microsoft YaHei" w:eastAsia="Microsoft YaHei" w:hAnsi="Microsoft YaHei" w:cs="Microsoft YaHei"/>
          <w:color w:val="666666"/>
          <w:sz w:val="21"/>
          <w:szCs w:val="21"/>
        </w:rPr>
      </w:pPr>
      <w:r>
        <w:rPr>
          <w:rFonts w:ascii="SimHei" w:eastAsia="SimHei" w:hAnsi="SimHei" w:cs="SimHei"/>
          <w:color w:val="333333"/>
          <w:sz w:val="30"/>
          <w:szCs w:val="30"/>
        </w:rPr>
        <w:t>第二十八条</w:t>
      </w:r>
      <w:r>
        <w:rPr>
          <w:rFonts w:ascii="Calibri" w:eastAsia="Calibri" w:hAnsi="Calibri" w:cs="Calibri"/>
          <w:color w:val="666666"/>
          <w:sz w:val="30"/>
          <w:szCs w:val="30"/>
        </w:rPr>
        <w:t>  </w:t>
      </w:r>
      <w:r>
        <w:rPr>
          <w:rFonts w:ascii="FangSong" w:eastAsia="FangSong" w:hAnsi="FangSong" w:cs="FangSong"/>
          <w:color w:val="666666"/>
          <w:sz w:val="30"/>
          <w:szCs w:val="30"/>
        </w:rPr>
        <w:t>本章程的解释权属青海师范大学招生办公室。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90.html" TargetMode="External" /><Relationship Id="rId11" Type="http://schemas.openxmlformats.org/officeDocument/2006/relationships/hyperlink" Target="http://www.gk114.com/a/gxzs/zszc/qinghai/2022/0519/22489.html" TargetMode="External" /><Relationship Id="rId12" Type="http://schemas.openxmlformats.org/officeDocument/2006/relationships/hyperlink" Target="http://www.gk114.com/a/gxzs/zszc/qinghai/2022/0519/22488.html" TargetMode="External" /><Relationship Id="rId13" Type="http://schemas.openxmlformats.org/officeDocument/2006/relationships/hyperlink" Target="http://www.gk114.com/a/gxzs/zszc/qinghai/2022/0519/22487.html" TargetMode="External" /><Relationship Id="rId14" Type="http://schemas.openxmlformats.org/officeDocument/2006/relationships/hyperlink" Target="http://www.gk114.com/a/gxzs/zszc/qinghai/2022/0519/22486.html" TargetMode="External" /><Relationship Id="rId15" Type="http://schemas.openxmlformats.org/officeDocument/2006/relationships/hyperlink" Target="http://www.gk114.com/a/gxzs/zszc/qinghai/2022/0519/22485.html" TargetMode="External" /><Relationship Id="rId16" Type="http://schemas.openxmlformats.org/officeDocument/2006/relationships/hyperlink" Target="http://www.gk114.com/a/gxzs/zszc/qinghai/2022/0519/22483.html" TargetMode="External" /><Relationship Id="rId17" Type="http://schemas.openxmlformats.org/officeDocument/2006/relationships/hyperlink" Target="http://www.gk114.com/a/gxzs/zszc/qinghai/2022/0519/22482.html" TargetMode="External" /><Relationship Id="rId18" Type="http://schemas.openxmlformats.org/officeDocument/2006/relationships/hyperlink" Target="http://www.gk114.com/a/gxzs/zszc/qinghai/2021/0604/1971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data.edu.qq.com/college/" TargetMode="External" /><Relationship Id="rId5" Type="http://schemas.openxmlformats.org/officeDocument/2006/relationships/hyperlink" Target="http://www.gk114.com/a/gxzs/zszc/qinghai/2019/0607/9485.html" TargetMode="External" /><Relationship Id="rId6" Type="http://schemas.openxmlformats.org/officeDocument/2006/relationships/hyperlink" Target="http://www.gk114.com/a/gxzs/zszc/qinghai/2019/0607/9487.html" TargetMode="External" /><Relationship Id="rId7" Type="http://schemas.openxmlformats.org/officeDocument/2006/relationships/hyperlink" Target="http://www.gk114.com/a/gxzs/zszc/qinghai/" TargetMode="External" /><Relationship Id="rId8" Type="http://schemas.openxmlformats.org/officeDocument/2006/relationships/hyperlink" Target="http://www.gk114.com/a/gxzs/zszc/qinghai/2022/0519/22492.html" TargetMode="External" /><Relationship Id="rId9" Type="http://schemas.openxmlformats.org/officeDocument/2006/relationships/hyperlink" Target="http://www.gk114.com/a/gxzs/zszc/qinghai/2022/0519/224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