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白城职业技术学院招生章程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学校全称：白城职业技术学院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学校地址：吉林省白城市洮北区白平公路</w:t>
      </w:r>
      <w:r>
        <w:rPr>
          <w:rFonts w:ascii="Times New Roman" w:eastAsia="Times New Roman" w:hAnsi="Times New Roman" w:cs="Times New Roman"/>
        </w:rPr>
        <w:t>50-34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、小学教育专业每生每学年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、音乐教育专业每生每学年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、学前教育专业每生每学年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、现代教育技术专业每生每学年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、工商企业管理专业每生每学年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、食品加工技术专业每生每学年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、道路桥梁工程技术专业每生每学年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、工程造价专业每生每学年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、建筑装饰工程技术专业每生每学年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、建筑工程技术专业每生每学年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、会计专业每生每学年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、数字媒体应用技术专业每生每学年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13</w:t>
      </w:r>
      <w:r>
        <w:rPr>
          <w:rFonts w:ascii="SimSun" w:eastAsia="SimSun" w:hAnsi="SimSun" w:cs="SimSun"/>
        </w:rPr>
        <w:t>、汽车检测与维修技术专业每生每学年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14</w:t>
      </w:r>
      <w:r>
        <w:rPr>
          <w:rFonts w:ascii="SimSun" w:eastAsia="SimSun" w:hAnsi="SimSun" w:cs="SimSun"/>
        </w:rPr>
        <w:t>、汽车营销与服务专业每生每学年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w:t>
      </w:r>
      <w:r>
        <w:rPr>
          <w:rFonts w:ascii="SimSun" w:eastAsia="SimSun" w:hAnsi="SimSun" w:cs="SimSun"/>
        </w:rPr>
        <w:t>、电子商务专业每生每学年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16</w:t>
      </w:r>
      <w:r>
        <w:rPr>
          <w:rFonts w:ascii="SimSun" w:eastAsia="SimSun" w:hAnsi="SimSun" w:cs="SimSun"/>
        </w:rPr>
        <w:t>、机电一体化技术专业每生每学年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17</w:t>
      </w:r>
      <w:r>
        <w:rPr>
          <w:rFonts w:ascii="SimSun" w:eastAsia="SimSun" w:hAnsi="SimSun" w:cs="SimSun"/>
        </w:rPr>
        <w:t>、汽车智能技术专业每生每学年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18</w:t>
      </w:r>
      <w:r>
        <w:rPr>
          <w:rFonts w:ascii="SimSun" w:eastAsia="SimSun" w:hAnsi="SimSun" w:cs="SimSun"/>
        </w:rPr>
        <w:t>、智能交通技术运用专业每生每学年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19</w:t>
      </w:r>
      <w:r>
        <w:rPr>
          <w:rFonts w:ascii="SimSun" w:eastAsia="SimSun" w:hAnsi="SimSun" w:cs="SimSun"/>
        </w:rPr>
        <w:t>、广告设计与制作专业每生每学年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w:t>
      </w:r>
      <w:r>
        <w:rPr>
          <w:rFonts w:ascii="SimSun" w:eastAsia="SimSun" w:hAnsi="SimSun" w:cs="SimSun"/>
        </w:rPr>
        <w:t>、体育教育专业每生每学年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21</w:t>
      </w:r>
      <w:r>
        <w:rPr>
          <w:rFonts w:ascii="SimSun" w:eastAsia="SimSun" w:hAnsi="SimSun" w:cs="SimSun"/>
        </w:rPr>
        <w:t>、美术教育专业每生每学年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高职毕业生由白城职业技术学院颁发国家规定的专科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同时，我校从事业收入中足额提取</w:t>
      </w:r>
      <w:r>
        <w:rPr>
          <w:rFonts w:ascii="Times New Roman" w:eastAsia="Times New Roman" w:hAnsi="Times New Roman" w:cs="Times New Roman"/>
        </w:rPr>
        <w:t>4%</w:t>
      </w:r>
      <w:r>
        <w:rPr>
          <w:rFonts w:ascii="SimSun" w:eastAsia="SimSun" w:hAnsi="SimSun" w:cs="SimSun"/>
        </w:rPr>
        <w:t>的经费用于资助家庭经济困难学生。针对家庭经济困难，品学兼优的学生设立校内奖学金，并为重大灾害及重大变故提供临时专项救助。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各专业统考外语语种不限。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考生身体健康状况参照教育部、卫生部、中国残疾人联合会印发的《普通高等学校招生体检工作指导意见》执行。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、依据国家教育部新颁布的本年度《教育部关于做好普通高等学校招生工作通知》精神，本着公平、公正、公开的原则，综合衡量德智体美，择优录取。</w:t>
      </w:r>
      <w:r>
        <w:rPr>
          <w:rFonts w:ascii="Times New Roman" w:eastAsia="Times New Roman" w:hAnsi="Times New Roman" w:cs="Times New Roman"/>
        </w:rPr>
        <w:t xml:space="preserve"> 2</w:t>
      </w:r>
      <w:r>
        <w:rPr>
          <w:rFonts w:ascii="SimSun" w:eastAsia="SimSun" w:hAnsi="SimSun" w:cs="SimSun"/>
        </w:rPr>
        <w:t>、根据考生报考人数优先录取第一志愿的考生，如第一志愿未完成招生计划，依次录取二、三志愿及平行志愿考生。</w:t>
      </w:r>
      <w:r>
        <w:rPr>
          <w:rFonts w:ascii="Times New Roman" w:eastAsia="Times New Roman" w:hAnsi="Times New Roman" w:cs="Times New Roman"/>
        </w:rPr>
        <w:t xml:space="preserve"> 3</w:t>
      </w:r>
      <w:r>
        <w:rPr>
          <w:rFonts w:ascii="SimSun" w:eastAsia="SimSun" w:hAnsi="SimSun" w:cs="SimSun"/>
        </w:rPr>
        <w:t>、对进档考生的专业安排，实行专业清办法予以录取，即</w:t>
      </w:r>
      <w:r>
        <w:rPr>
          <w:rFonts w:ascii="Times New Roman" w:eastAsia="Times New Roman" w:hAnsi="Times New Roman" w:cs="Times New Roman"/>
        </w:rPr>
        <w:t>A</w:t>
      </w:r>
      <w:r>
        <w:rPr>
          <w:rFonts w:ascii="SimSun" w:eastAsia="SimSun" w:hAnsi="SimSun" w:cs="SimSun"/>
        </w:rPr>
        <w:t>、对于进档考生，根据考生专业志愿，按照投档成绩从高分到低分择优录取；</w:t>
      </w:r>
      <w:r>
        <w:rPr>
          <w:rFonts w:ascii="Times New Roman" w:eastAsia="Times New Roman" w:hAnsi="Times New Roman" w:cs="Times New Roman"/>
        </w:rPr>
        <w:t>B</w:t>
      </w:r>
      <w:r>
        <w:rPr>
          <w:rFonts w:ascii="SimSun" w:eastAsia="SimSun" w:hAnsi="SimSun" w:cs="SimSun"/>
        </w:rPr>
        <w:t>、对于进档考生，第一志愿不能满足的考生，按其第二专业志愿录取，仍不能满足的按其第三专业志愿录取，以此类推，当某考生所有专业志愿均不能满足时，服从专业调剂的考生，将其调录到录取未满计划的专业，若不服从专业调剂，作退档处理。</w:t>
      </w:r>
      <w:r>
        <w:rPr>
          <w:rFonts w:ascii="Times New Roman" w:eastAsia="Times New Roman" w:hAnsi="Times New Roman" w:cs="Times New Roman"/>
        </w:rPr>
        <w:t>C</w:t>
      </w:r>
      <w:r>
        <w:rPr>
          <w:rFonts w:ascii="SimSun" w:eastAsia="SimSun" w:hAnsi="SimSun" w:cs="SimSun"/>
        </w:rPr>
        <w:t>、对投档成绩相同的考生，如果其所在省（市、自治区）已规定了相关排序办法，则按照该省（市、自治区）的办法执行，如果其所在省（市、自治区）没有规定排序办法，则按照我校规定的办法执行，即按单科顺序及分数从高到低排序，文科类以语文、外语、文综、数学为顺序，科目成绩高者优先录取；理科类以数学、外语、理综、语文为顺序，科目成绩高者优先录取。如各科成绩均相同，则由学校招生工作领导小组研究决定。</w:t>
      </w:r>
      <w:r>
        <w:rPr>
          <w:rFonts w:ascii="Times New Roman" w:eastAsia="Times New Roman" w:hAnsi="Times New Roman" w:cs="Times New Roman"/>
        </w:rPr>
        <w:t xml:space="preserve"> 4</w:t>
      </w:r>
      <w:r>
        <w:rPr>
          <w:rFonts w:ascii="SimSun" w:eastAsia="SimSun" w:hAnsi="SimSun" w:cs="SimSun"/>
        </w:rPr>
        <w:t>、对享受加分政策的考生可按省（自治区、直辖市）招办的规定加分提档、录取。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http://www.bcvit.cn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通讯地址：吉林省白城市白平公路</w:t>
      </w:r>
      <w:r>
        <w:rPr>
          <w:rFonts w:ascii="Times New Roman" w:eastAsia="Times New Roman" w:hAnsi="Times New Roman" w:cs="Times New Roman"/>
        </w:rPr>
        <w:t>50-34</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0436-3671103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联系人：张雷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吉林科技职业技术学院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松原职业技术学院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四平职业大学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哈尔滨传媒职业学院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年哈尔滨职业技术学院高考章程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黑龙江农业经济职业学院招生章程</w:t>
        </w:r>
        <w:r>
          <w:rPr>
            <w:rFonts w:ascii="Times New Roman" w:eastAsia="Times New Roman" w:hAnsi="Times New Roman" w:cs="Times New Roman"/>
            <w:color w:val="0000EE"/>
            <w:u w:val="single" w:color="0000EE"/>
          </w:rPr>
          <w:t>(2020)</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哈尔滨电力职业技术学院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2.html" TargetMode="External" /><Relationship Id="rId12" Type="http://schemas.openxmlformats.org/officeDocument/2006/relationships/hyperlink" Target="http://www.gk114.com/a/gxzs/zszc/jilin/2022/0508/22369.html" TargetMode="External" /><Relationship Id="rId13" Type="http://schemas.openxmlformats.org/officeDocument/2006/relationships/hyperlink" Target="http://www.gk114.com/a/gxzs/zszc/jilin/2021/0328/19279.html" TargetMode="External" /><Relationship Id="rId14" Type="http://schemas.openxmlformats.org/officeDocument/2006/relationships/hyperlink" Target="http://www.gk114.com/a/gxzs/zszc/jilin/2021/0328/19276.html" TargetMode="External" /><Relationship Id="rId15" Type="http://schemas.openxmlformats.org/officeDocument/2006/relationships/hyperlink" Target="http://www.gk114.com/a/gxzs/zszc/jilin/2021/0328/19275.html" TargetMode="External" /><Relationship Id="rId16" Type="http://schemas.openxmlformats.org/officeDocument/2006/relationships/hyperlink" Target="http://www.gk114.com/a/gxzs/zszc/jilin/2021/0328/19273.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60.html" TargetMode="External" /><Relationship Id="rId5" Type="http://schemas.openxmlformats.org/officeDocument/2006/relationships/hyperlink" Target="http://www.gk114.com/a/gxzs/zszc/jilin/2019/0627/1026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