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年上海市普通高校招生章程核准备案表（正表）</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065"/>
        <w:gridCol w:w="15"/>
        <w:gridCol w:w="1324"/>
        <w:gridCol w:w="2421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w:t>
            </w:r>
            <w:r>
              <w:rPr>
                <w:rFonts w:ascii="SimSun" w:eastAsia="SimSun" w:hAnsi="SimSun" w:cs="SimSun"/>
                <w:b/>
                <w:bCs/>
                <w:i w:val="0"/>
                <w:iCs w:val="0"/>
                <w:smallCaps w:val="0"/>
                <w:color w:val="666666"/>
                <w:sz w:val="21"/>
                <w:szCs w:val="21"/>
              </w:rPr>
              <w:t>院</w:t>
            </w:r>
            <w:r>
              <w:rPr>
                <w:rFonts w:ascii="SimSun" w:eastAsia="SimSun" w:hAnsi="SimSun" w:cs="SimSun"/>
                <w:b/>
                <w:bCs/>
                <w:i w:val="0"/>
                <w:iCs w:val="0"/>
                <w:smallCaps w:val="0"/>
                <w:color w:val="666666"/>
                <w:sz w:val="21"/>
                <w:szCs w:val="21"/>
              </w:rPr>
              <w:t>校全称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上海中侨职业技术学院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上海市金山区漕廊公路</w:t>
            </w:r>
            <w:r>
              <w:rPr>
                <w:rFonts w:ascii="Times New Roman" w:eastAsia="Times New Roman" w:hAnsi="Times New Roman" w:cs="Times New Roman"/>
                <w:b w:val="0"/>
                <w:bCs w:val="0"/>
                <w:i w:val="0"/>
                <w:iCs w:val="0"/>
                <w:smallCaps w:val="0"/>
                <w:color w:val="666666"/>
                <w:sz w:val="21"/>
                <w:szCs w:val="21"/>
              </w:rPr>
              <w:t>3888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上海中侨职业技术学院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修学期满，符合毕业要求，颁发上海中侨职业技术学院</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以教育部批准为准</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本（专）科毕业证书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招生领导小组是我校招生工作的最高决策机构，统一领导学校招生工作；招生办公室是我校组织和实施招生工作的常设机构，负责学校招生日常工作；纪委监察处是我校招生工作纪检监察机构。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本科招生计划的</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用于生源质量调控及同分数考生的录取。</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入学外语考试语种不限；入学后应用英语专业教学语种为英语，入学后商务日语专业教学外语语种为日语，入学后应用西班牙语专业教学外语语种为西班牙语</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入学后其他专业教学语种为英语。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及有关补充规定为依据，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按省级招办划定的录取控制分数线及我校在当地的招生计划数和投档比例（具体的投档比例由省级招办审定后，按照非平行志愿投档的批次</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。），以考生分数优先原则，从高分到低分，择优录取。在同分情况下，文科考生依次比较外语、语文、数学成绩，理科考生依次比较外语、数学、语文成绩，不分文理考生依次比较外语、语文、数学成绩</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同分规则以省级招办规定为准。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我校录取时，总分达到学校最低投档线即满足考生第一专业志愿，无专业分数级差要求，无专业加试要求，按分数优先原则录取。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政策性加分在录取时计入总分，各项加分不累计，最多不超过</w:t>
            </w:r>
            <w:r>
              <w:rPr>
                <w:rFonts w:ascii="Times New Roman" w:eastAsia="Times New Roman" w:hAnsi="Times New Roman" w:cs="Times New Roman"/>
                <w:b w:val="0"/>
                <w:bCs w:val="0"/>
                <w:i w:val="0"/>
                <w:iCs w:val="0"/>
                <w:smallCaps w:val="0"/>
                <w:color w:val="666666"/>
                <w:sz w:val="21"/>
                <w:szCs w:val="21"/>
              </w:rPr>
              <w:t>20</w:t>
            </w:r>
            <w:r>
              <w:rPr>
                <w:rFonts w:ascii="SimSun" w:eastAsia="SimSun" w:hAnsi="SimSun" w:cs="SimSun"/>
                <w:b w:val="0"/>
                <w:bCs w:val="0"/>
                <w:i w:val="0"/>
                <w:iCs w:val="0"/>
                <w:smallCaps w:val="0"/>
                <w:color w:val="666666"/>
                <w:sz w:val="21"/>
                <w:szCs w:val="21"/>
              </w:rPr>
              <w:t>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对达到我校最低录取分数线但未进入专业志愿、且愿意服从所有专业调剂的考生作调剂录取。不服从专业调剂者，作退档处理。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w:t>
            </w:r>
            <w:r>
              <w:rPr>
                <w:rFonts w:ascii="SimSun" w:eastAsia="SimSun" w:hAnsi="SimSun" w:cs="SimSun"/>
                <w:b w:val="0"/>
                <w:bCs w:val="0"/>
                <w:i w:val="0"/>
                <w:iCs w:val="0"/>
                <w:smallCaps w:val="0"/>
                <w:color w:val="666666"/>
                <w:sz w:val="21"/>
                <w:szCs w:val="21"/>
              </w:rPr>
              <w:t>内蒙古自治区进档考生，实行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三、江苏省考生录取原则按照江苏省有关政策执行。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四、艺术类专业的录取规则：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艺术类专业的考生，专业成绩达到各省级招办划定的最低录取资格线，且文化成绩达到各省级招办划定的艺术类专业专科成绩控制分数线，按投档总分从高分到低分择优录取。在同分情况下，依次比较考生语文、外语、数学成绩。</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本科专业：</w:t>
            </w:r>
            <w:r>
              <w:rPr>
                <w:rFonts w:ascii="Times New Roman" w:eastAsia="Times New Roman" w:hAnsi="Times New Roman" w:cs="Times New Roman"/>
                <w:b w:val="0"/>
                <w:bCs w:val="0"/>
                <w:i w:val="0"/>
                <w:iCs w:val="0"/>
                <w:smallCaps w:val="0"/>
                <w:color w:val="666666"/>
                <w:sz w:val="21"/>
                <w:szCs w:val="21"/>
              </w:rPr>
              <w:t>29800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专科普通类专业：</w:t>
            </w:r>
            <w:r>
              <w:rPr>
                <w:rFonts w:ascii="Times New Roman" w:eastAsia="Times New Roman" w:hAnsi="Times New Roman" w:cs="Times New Roman"/>
                <w:b w:val="0"/>
                <w:bCs w:val="0"/>
                <w:i w:val="0"/>
                <w:iCs w:val="0"/>
                <w:smallCaps w:val="0"/>
                <w:color w:val="666666"/>
                <w:sz w:val="21"/>
                <w:szCs w:val="21"/>
              </w:rPr>
              <w:t>13000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专科艺术类专业：</w:t>
            </w:r>
            <w:r>
              <w:rPr>
                <w:rFonts w:ascii="Times New Roman" w:eastAsia="Times New Roman" w:hAnsi="Times New Roman" w:cs="Times New Roman"/>
                <w:b w:val="0"/>
                <w:bCs w:val="0"/>
                <w:i w:val="0"/>
                <w:iCs w:val="0"/>
                <w:smallCaps w:val="0"/>
                <w:color w:val="666666"/>
                <w:sz w:val="21"/>
                <w:szCs w:val="21"/>
              </w:rPr>
              <w:t>16000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号文件）</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4000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人间</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23</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24</w:t>
            </w:r>
            <w:r>
              <w:rPr>
                <w:rFonts w:ascii="SimSun" w:eastAsia="SimSun" w:hAnsi="SimSun" w:cs="SimSun"/>
                <w:b w:val="0"/>
                <w:bCs w:val="0"/>
                <w:i w:val="0"/>
                <w:iCs w:val="0"/>
                <w:smallCaps w:val="0"/>
                <w:color w:val="666666"/>
                <w:sz w:val="21"/>
                <w:szCs w:val="21"/>
              </w:rPr>
              <w:t>号新建大楼）（沪教委民【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专科：</w:t>
            </w:r>
            <w:r>
              <w:rPr>
                <w:rFonts w:ascii="Times New Roman" w:eastAsia="Times New Roman" w:hAnsi="Times New Roman" w:cs="Times New Roman"/>
                <w:b w:val="0"/>
                <w:bCs w:val="0"/>
                <w:i w:val="0"/>
                <w:iCs w:val="0"/>
                <w:smallCaps w:val="0"/>
                <w:color w:val="666666"/>
                <w:sz w:val="21"/>
                <w:szCs w:val="21"/>
              </w:rPr>
              <w:t>2500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人间</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我校认真执行国家和本市相关学生资助规定，被本校录取的家庭经济困难学生可通过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学校奖学金、助学金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021-31616012</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www.shzq.edu.cn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招生处（办）官网：</w:t>
            </w:r>
            <w:r>
              <w:rPr>
                <w:rFonts w:ascii="Times New Roman" w:eastAsia="Times New Roman" w:hAnsi="Times New Roman" w:cs="Times New Roman"/>
                <w:b w:val="0"/>
                <w:bCs w:val="0"/>
                <w:i w:val="0"/>
                <w:iCs w:val="0"/>
                <w:smallCaps w:val="0"/>
                <w:color w:val="666666"/>
                <w:sz w:val="21"/>
                <w:szCs w:val="21"/>
              </w:rPr>
              <w:t>www.shzq.edu.cn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021-31616077</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31616088</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31616099</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十六、其他须知</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上海科学技术职业学院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上海师范大学天华学院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年上海建桥学院招生章程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3.html" TargetMode="External" /><Relationship Id="rId11" Type="http://schemas.openxmlformats.org/officeDocument/2006/relationships/hyperlink" Target="http://www.gk114.com/a/gxzs/zszc/shanghai/2020/0701/17272.html" TargetMode="External" /><Relationship Id="rId12" Type="http://schemas.openxmlformats.org/officeDocument/2006/relationships/hyperlink" Target="http://www.gk114.com/a/gxzs/zszc/shanghai/2020/0701/17271.html" TargetMode="External" /><Relationship Id="rId13" Type="http://schemas.openxmlformats.org/officeDocument/2006/relationships/hyperlink" Target="http://www.gk114.com/a/gxzs/zszc/shanghai/2020/0701/17270.html" TargetMode="External" /><Relationship Id="rId14" Type="http://schemas.openxmlformats.org/officeDocument/2006/relationships/hyperlink" Target="http://www.gk114.com/a/gxzs/zszc/shanghai/2020/0701/17269.html" TargetMode="External" /><Relationship Id="rId15" Type="http://schemas.openxmlformats.org/officeDocument/2006/relationships/hyperlink" Target="http://www.gk114.com/a/gxzs/zszc/shanghai/2020/0701/17268.html" TargetMode="External" /><Relationship Id="rId16" Type="http://schemas.openxmlformats.org/officeDocument/2006/relationships/hyperlink" Target="http://www.gk114.com/a/gxzs/zszc/shanghai/2020/0701/1726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7.html" TargetMode="External" /><Relationship Id="rId5" Type="http://schemas.openxmlformats.org/officeDocument/2006/relationships/hyperlink" Target="http://www.gk114.com/a/gxzs/zszc/shanghai/2020/0701/1724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220/21738.html" TargetMode="External" /><Relationship Id="rId8" Type="http://schemas.openxmlformats.org/officeDocument/2006/relationships/hyperlink" Target="http://www.gk114.com/a/gxzs/zszc/shanghai/2020/0701/17275.html" TargetMode="External" /><Relationship Id="rId9" Type="http://schemas.openxmlformats.org/officeDocument/2006/relationships/hyperlink" Target="http://www.gk114.com/a/gxzs/zszc/shanghai/2020/0701/172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