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年上海行健职业学院全国统考招生章程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年上海市普通高校招生章程核准备案表（正表）</w:t>
      </w:r>
    </w:p>
    <w:tbl>
      <w:tblPr>
        <w:tblW w:w="14327"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065"/>
        <w:gridCol w:w="15"/>
        <w:gridCol w:w="1324"/>
        <w:gridCol w:w="24420"/>
      </w:tblGrid>
      <w:tr>
        <w:tblPrEx>
          <w:tblW w:w="14327"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jc w:val="center"/>
        </w:trPr>
        <w:tc>
          <w:tcPr>
            <w:tcW w:w="10545" w:type="dxa"/>
            <w:gridSpan w:val="4"/>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（秋季统一高考）</w:t>
            </w:r>
          </w:p>
        </w:tc>
      </w:tr>
      <w:tr>
        <w:tblPrEx>
          <w:tblW w:w="14327" w:type="dxa"/>
          <w:jc w:val="center"/>
          <w:tblInd w:w="135" w:type="dxa"/>
          <w:tblCellMar>
            <w:top w:w="15" w:type="dxa"/>
            <w:left w:w="15" w:type="dxa"/>
            <w:bottom w:w="15" w:type="dxa"/>
            <w:right w:w="15" w:type="dxa"/>
          </w:tblCellMar>
        </w:tblPrEx>
        <w:trPr>
          <w:jc w:val="center"/>
        </w:trPr>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一、院校全称</w:t>
            </w:r>
          </w:p>
        </w:tc>
        <w:tc>
          <w:tcPr>
            <w:tcW w:w="7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上海行健职业学院</w:t>
            </w:r>
          </w:p>
        </w:tc>
      </w:tr>
      <w:tr>
        <w:tblPrEx>
          <w:tblW w:w="14327" w:type="dxa"/>
          <w:jc w:val="center"/>
          <w:tblInd w:w="135" w:type="dxa"/>
          <w:tblCellMar>
            <w:top w:w="15" w:type="dxa"/>
            <w:left w:w="15" w:type="dxa"/>
            <w:bottom w:w="15" w:type="dxa"/>
            <w:right w:w="15" w:type="dxa"/>
          </w:tblCellMar>
        </w:tblPrEx>
        <w:trPr>
          <w:jc w:val="center"/>
        </w:trPr>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二、就读校址</w:t>
            </w:r>
          </w:p>
        </w:tc>
        <w:tc>
          <w:tcPr>
            <w:tcW w:w="7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上海市静安区原平路</w:t>
            </w:r>
            <w:r>
              <w:rPr>
                <w:rFonts w:ascii="Times New Roman" w:eastAsia="Times New Roman" w:hAnsi="Times New Roman" w:cs="Times New Roman"/>
                <w:b w:val="0"/>
                <w:bCs w:val="0"/>
                <w:i w:val="0"/>
                <w:iCs w:val="0"/>
                <w:smallCaps w:val="0"/>
                <w:color w:val="666666"/>
                <w:sz w:val="21"/>
                <w:szCs w:val="21"/>
              </w:rPr>
              <w:t>55</w:t>
            </w:r>
            <w:r>
              <w:rPr>
                <w:rFonts w:ascii="SimSun" w:eastAsia="SimSun" w:hAnsi="SimSun" w:cs="SimSun"/>
                <w:b w:val="0"/>
                <w:bCs w:val="0"/>
                <w:i w:val="0"/>
                <w:iCs w:val="0"/>
                <w:smallCaps w:val="0"/>
                <w:color w:val="666666"/>
                <w:sz w:val="21"/>
                <w:szCs w:val="21"/>
              </w:rPr>
              <w:t>号</w:t>
            </w:r>
          </w:p>
        </w:tc>
      </w:tr>
      <w:tr>
        <w:tblPrEx>
          <w:tblW w:w="14327" w:type="dxa"/>
          <w:jc w:val="center"/>
          <w:tblInd w:w="135" w:type="dxa"/>
          <w:tblCellMar>
            <w:top w:w="15" w:type="dxa"/>
            <w:left w:w="15" w:type="dxa"/>
            <w:bottom w:w="15" w:type="dxa"/>
            <w:right w:w="15" w:type="dxa"/>
          </w:tblCellMar>
        </w:tblPrEx>
        <w:trPr>
          <w:jc w:val="center"/>
        </w:trPr>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三、招生层次</w:t>
            </w:r>
          </w:p>
        </w:tc>
        <w:tc>
          <w:tcPr>
            <w:tcW w:w="7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本科</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高职</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专科</w:t>
            </w:r>
          </w:p>
        </w:tc>
      </w:tr>
      <w:tr>
        <w:tblPrEx>
          <w:tblW w:w="14327" w:type="dxa"/>
          <w:jc w:val="center"/>
          <w:tblInd w:w="135" w:type="dxa"/>
          <w:tblCellMar>
            <w:top w:w="15" w:type="dxa"/>
            <w:left w:w="15" w:type="dxa"/>
            <w:bottom w:w="15" w:type="dxa"/>
            <w:right w:w="15" w:type="dxa"/>
          </w:tblCellMar>
        </w:tblPrEx>
        <w:trPr>
          <w:jc w:val="center"/>
        </w:trPr>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四、办学类型</w:t>
            </w:r>
          </w:p>
        </w:tc>
        <w:tc>
          <w:tcPr>
            <w:tcW w:w="7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普通高等学校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公办高等学校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民办高等学校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高等专科学校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高等职业技术学校</w:t>
            </w:r>
          </w:p>
        </w:tc>
      </w:tr>
      <w:tr>
        <w:tblPrEx>
          <w:tblW w:w="14327" w:type="dxa"/>
          <w:jc w:val="center"/>
          <w:tblInd w:w="135" w:type="dxa"/>
          <w:tblCellMar>
            <w:top w:w="15" w:type="dxa"/>
            <w:left w:w="15" w:type="dxa"/>
            <w:bottom w:w="15" w:type="dxa"/>
            <w:right w:w="15" w:type="dxa"/>
          </w:tblCellMar>
        </w:tblPrEx>
        <w:trPr>
          <w:jc w:val="center"/>
        </w:trPr>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五、颁发学历证书的院校名称及证书种类</w:t>
            </w:r>
          </w:p>
        </w:tc>
        <w:tc>
          <w:tcPr>
            <w:tcW w:w="19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院校名称</w:t>
            </w:r>
          </w:p>
        </w:tc>
        <w:tc>
          <w:tcPr>
            <w:tcW w:w="7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上海行健职业学院</w:t>
            </w:r>
          </w:p>
        </w:tc>
      </w:tr>
      <w:tr>
        <w:tblPrEx>
          <w:tblW w:w="14327"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19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证书种类</w:t>
            </w:r>
          </w:p>
        </w:tc>
        <w:tc>
          <w:tcPr>
            <w:tcW w:w="7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修学期满，符合毕业要求，颁发上海行健职业学院的专科毕业证书。</w:t>
            </w:r>
          </w:p>
        </w:tc>
      </w:tr>
      <w:tr>
        <w:tblPrEx>
          <w:tblW w:w="14327" w:type="dxa"/>
          <w:jc w:val="center"/>
          <w:tblInd w:w="135" w:type="dxa"/>
          <w:tblCellMar>
            <w:top w:w="15" w:type="dxa"/>
            <w:left w:w="15" w:type="dxa"/>
            <w:bottom w:w="15" w:type="dxa"/>
            <w:right w:w="15" w:type="dxa"/>
          </w:tblCellMar>
        </w:tblPrEx>
        <w:trPr>
          <w:jc w:val="center"/>
        </w:trPr>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六、院校招生管理机构</w:t>
            </w:r>
          </w:p>
        </w:tc>
        <w:tc>
          <w:tcPr>
            <w:tcW w:w="7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招生工作领导小组是我校招生工作的最高决策机构，统一领导学校招生工作；招生办公室是我校组织和实施招生工作的常设机构，负责学校招生日常工作；招生监察小组是我校招生工作纪检监察机构。</w:t>
            </w:r>
          </w:p>
        </w:tc>
      </w:tr>
      <w:tr>
        <w:tblPrEx>
          <w:tblW w:w="14327" w:type="dxa"/>
          <w:jc w:val="center"/>
          <w:tblInd w:w="135" w:type="dxa"/>
          <w:tblCellMar>
            <w:top w:w="15" w:type="dxa"/>
            <w:left w:w="15" w:type="dxa"/>
            <w:bottom w:w="15" w:type="dxa"/>
            <w:right w:w="15" w:type="dxa"/>
          </w:tblCellMar>
        </w:tblPrEx>
        <w:trPr>
          <w:jc w:val="center"/>
        </w:trPr>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的原则和办法</w:t>
            </w:r>
          </w:p>
        </w:tc>
        <w:tc>
          <w:tcPr>
            <w:tcW w:w="7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三、本年度我校分省分专业招生计划、高考改革省市选考科目要求等详见各省级招生主管部门（以下简称省级招办）编印的</w:t>
            </w: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年普通高等学校招生专业和计划相关文件。</w:t>
            </w:r>
          </w:p>
        </w:tc>
      </w:tr>
      <w:tr>
        <w:tblPrEx>
          <w:tblW w:w="14327" w:type="dxa"/>
          <w:jc w:val="center"/>
          <w:tblInd w:w="135" w:type="dxa"/>
          <w:tblCellMar>
            <w:top w:w="15" w:type="dxa"/>
            <w:left w:w="15" w:type="dxa"/>
            <w:bottom w:w="15" w:type="dxa"/>
            <w:right w:w="15" w:type="dxa"/>
          </w:tblCellMar>
        </w:tblPrEx>
        <w:trPr>
          <w:jc w:val="center"/>
        </w:trPr>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八、预留计划数及使用办法</w:t>
            </w:r>
          </w:p>
        </w:tc>
        <w:tc>
          <w:tcPr>
            <w:tcW w:w="7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jc w:val="center"/>
          <w:tblInd w:w="135" w:type="dxa"/>
          <w:tblCellMar>
            <w:top w:w="15" w:type="dxa"/>
            <w:left w:w="15" w:type="dxa"/>
            <w:bottom w:w="15" w:type="dxa"/>
            <w:right w:w="15" w:type="dxa"/>
          </w:tblCellMar>
        </w:tblPrEx>
        <w:trPr>
          <w:jc w:val="center"/>
        </w:trPr>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语考试语种的要求</w:t>
            </w:r>
          </w:p>
        </w:tc>
        <w:tc>
          <w:tcPr>
            <w:tcW w:w="7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入学外语考试语种不限，入学后教学外语语种为英语。</w:t>
            </w:r>
          </w:p>
        </w:tc>
      </w:tr>
      <w:tr>
        <w:tblPrEx>
          <w:tblW w:w="14327" w:type="dxa"/>
          <w:jc w:val="center"/>
          <w:tblInd w:w="135" w:type="dxa"/>
          <w:tblCellMar>
            <w:top w:w="15" w:type="dxa"/>
            <w:left w:w="15" w:type="dxa"/>
            <w:bottom w:w="15" w:type="dxa"/>
            <w:right w:w="15" w:type="dxa"/>
          </w:tblCellMar>
        </w:tblPrEx>
        <w:trPr>
          <w:jc w:val="center"/>
        </w:trPr>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十、身体健康状况要求</w:t>
            </w:r>
          </w:p>
        </w:tc>
        <w:tc>
          <w:tcPr>
            <w:tcW w:w="7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以教育部、卫生部和中国残疾人联合会印发的《普通高等学校招生体检工作指导意见》（教学</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2003</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号）及有关补充规定为依据，考生须据实上报健康状况。经复查，身体健康状况不符合专业学习要求的考生，学校将按照教育部《普通高等学校学生管理规定》和本校学籍管理相关规定处理。</w:t>
            </w:r>
          </w:p>
        </w:tc>
      </w:tr>
      <w:tr>
        <w:tblPrEx>
          <w:tblW w:w="14327" w:type="dxa"/>
          <w:jc w:val="center"/>
          <w:tblInd w:w="135" w:type="dxa"/>
          <w:tblCellMar>
            <w:top w:w="15" w:type="dxa"/>
            <w:left w:w="15" w:type="dxa"/>
            <w:bottom w:w="15" w:type="dxa"/>
            <w:right w:w="15" w:type="dxa"/>
          </w:tblCellMar>
        </w:tblPrEx>
        <w:trPr>
          <w:jc w:val="center"/>
        </w:trPr>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十一、录取规则</w:t>
            </w:r>
          </w:p>
        </w:tc>
        <w:tc>
          <w:tcPr>
            <w:tcW w:w="7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w:t>
            </w:r>
            <w:r>
              <w:rPr>
                <w:rFonts w:ascii="SimSun" w:eastAsia="SimSun" w:hAnsi="SimSun" w:cs="SimSun"/>
                <w:b w:val="0"/>
                <w:bCs w:val="0"/>
                <w:i w:val="0"/>
                <w:iCs w:val="0"/>
                <w:smallCaps w:val="0"/>
                <w:color w:val="666666"/>
                <w:sz w:val="21"/>
                <w:szCs w:val="21"/>
              </w:rPr>
              <w:t>省级招办按我校在当地的招生计划数和投档比例将第一志愿报考我校的生源从高分到低分（含加分）进行投档。具体的投档比例由我校根据各省市实际生源情况确定，按照非平行志愿投档的批次，原则上投档比例不超过</w:t>
            </w:r>
            <w:r>
              <w:rPr>
                <w:rFonts w:ascii="Times New Roman" w:eastAsia="Times New Roman" w:hAnsi="Times New Roman" w:cs="Times New Roman"/>
                <w:b w:val="0"/>
                <w:bCs w:val="0"/>
                <w:i w:val="0"/>
                <w:iCs w:val="0"/>
                <w:smallCaps w:val="0"/>
                <w:color w:val="666666"/>
                <w:sz w:val="21"/>
                <w:szCs w:val="21"/>
              </w:rPr>
              <w:t>120%</w:t>
            </w:r>
            <w:r>
              <w:rPr>
                <w:rFonts w:ascii="SimSun" w:eastAsia="SimSun" w:hAnsi="SimSun" w:cs="SimSun"/>
                <w:b w:val="0"/>
                <w:bCs w:val="0"/>
                <w:i w:val="0"/>
                <w:iCs w:val="0"/>
                <w:smallCaps w:val="0"/>
                <w:color w:val="666666"/>
                <w:sz w:val="21"/>
                <w:szCs w:val="21"/>
              </w:rPr>
              <w:t>；按照平行志愿投档的批次，原则上投档比例不超过</w:t>
            </w:r>
            <w:r>
              <w:rPr>
                <w:rFonts w:ascii="Times New Roman" w:eastAsia="Times New Roman" w:hAnsi="Times New Roman" w:cs="Times New Roman"/>
                <w:b w:val="0"/>
                <w:bCs w:val="0"/>
                <w:i w:val="0"/>
                <w:iCs w:val="0"/>
                <w:smallCaps w:val="0"/>
                <w:color w:val="666666"/>
                <w:sz w:val="21"/>
                <w:szCs w:val="21"/>
              </w:rPr>
              <w:t>105%</w:t>
            </w:r>
            <w:r>
              <w:rPr>
                <w:rFonts w:ascii="SimSun" w:eastAsia="SimSun" w:hAnsi="SimSun" w:cs="SimSun"/>
                <w:b w:val="0"/>
                <w:bCs w:val="0"/>
                <w:i w:val="0"/>
                <w:iCs w:val="0"/>
                <w:smallCaps w:val="0"/>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w:t>
            </w:r>
            <w:r>
              <w:rPr>
                <w:rFonts w:ascii="SimSun" w:eastAsia="SimSun" w:hAnsi="SimSun" w:cs="SimSun"/>
                <w:b w:val="0"/>
                <w:bCs w:val="0"/>
                <w:i w:val="0"/>
                <w:iCs w:val="0"/>
                <w:smallCaps w:val="0"/>
                <w:color w:val="666666"/>
                <w:sz w:val="21"/>
                <w:szCs w:val="21"/>
              </w:rPr>
              <w:t>进档后，按考生专业志愿顺序，从高分到低分择优录取。总分相同时：文科专业按语文、外语、数学顺序排名依次录取；理科专业按数学、外语、语文顺序排名依次录取；文理不分的省市在专业录取时</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考生按语文、数学、外语顺序排名依次录取。（上海提前批考生除外）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凡填报上海提前批专业的考生，进档后按照分数优先原则，从高分到低分择优录取。总分相同时，考生按语文、数学、外语顺序排名依次录取。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w:t>
            </w:r>
            <w:r>
              <w:rPr>
                <w:rFonts w:ascii="SimSun" w:eastAsia="SimSun" w:hAnsi="SimSun" w:cs="SimSun"/>
                <w:b w:val="0"/>
                <w:bCs w:val="0"/>
                <w:i w:val="0"/>
                <w:iCs w:val="0"/>
                <w:smallCaps w:val="0"/>
                <w:color w:val="666666"/>
                <w:sz w:val="21"/>
                <w:szCs w:val="21"/>
              </w:rPr>
              <w:t>报考美术类专业的考生，须参加所在省（自治区、直辖市）组织的美术类专业统考并合格，文化成绩达到美术类专科录取控制线，按照投档成绩，根据专业志愿从高分到低分择优录取。如总分相同，依次比较美术统考总分、素描、色彩、速写。</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5. </w:t>
            </w:r>
            <w:r>
              <w:rPr>
                <w:rFonts w:ascii="SimSun" w:eastAsia="SimSun" w:hAnsi="SimSun" w:cs="SimSun"/>
                <w:b w:val="0"/>
                <w:bCs w:val="0"/>
                <w:i w:val="0"/>
                <w:iCs w:val="0"/>
                <w:smallCaps w:val="0"/>
                <w:color w:val="666666"/>
                <w:sz w:val="21"/>
                <w:szCs w:val="21"/>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w:t>
            </w:r>
            <w:r>
              <w:rPr>
                <w:rFonts w:ascii="SimSun" w:eastAsia="SimSun" w:hAnsi="SimSun" w:cs="SimSun"/>
                <w:b w:val="0"/>
                <w:bCs w:val="0"/>
                <w:i w:val="0"/>
                <w:iCs w:val="0"/>
                <w:smallCaps w:val="0"/>
                <w:color w:val="666666"/>
                <w:sz w:val="21"/>
                <w:szCs w:val="21"/>
              </w:rPr>
              <w:t>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二、第一志愿生源不足时，省级招办可在同批次录取控制分数线上，按非第一志愿考生（包括征集志愿）人数不超过招生计划剩余数的</w:t>
            </w:r>
            <w:r>
              <w:rPr>
                <w:rFonts w:ascii="Times New Roman" w:eastAsia="Times New Roman" w:hAnsi="Times New Roman" w:cs="Times New Roman"/>
                <w:b w:val="0"/>
                <w:bCs w:val="0"/>
                <w:i w:val="0"/>
                <w:iCs w:val="0"/>
                <w:smallCaps w:val="0"/>
                <w:color w:val="666666"/>
                <w:sz w:val="21"/>
                <w:szCs w:val="21"/>
              </w:rPr>
              <w:t>105%</w:t>
            </w:r>
            <w:r>
              <w:rPr>
                <w:rFonts w:ascii="SimSun" w:eastAsia="SimSun" w:hAnsi="SimSun" w:cs="SimSun"/>
                <w:b w:val="0"/>
                <w:bCs w:val="0"/>
                <w:i w:val="0"/>
                <w:iCs w:val="0"/>
                <w:smallCaps w:val="0"/>
                <w:color w:val="666666"/>
                <w:sz w:val="21"/>
                <w:szCs w:val="21"/>
              </w:rPr>
              <w:t>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四、在江苏省，报考我校高职高专批次考生的学业水平测试两门选测科目的成绩等第均须达到</w:t>
            </w:r>
            <w:r>
              <w:rPr>
                <w:rFonts w:ascii="Times New Roman" w:eastAsia="Times New Roman" w:hAnsi="Times New Roman" w:cs="Times New Roman"/>
                <w:b w:val="0"/>
                <w:bCs w:val="0"/>
                <w:i w:val="0"/>
                <w:iCs w:val="0"/>
                <w:smallCaps w:val="0"/>
                <w:color w:val="666666"/>
                <w:sz w:val="21"/>
                <w:szCs w:val="21"/>
              </w:rPr>
              <w:t>D</w:t>
            </w:r>
            <w:r>
              <w:rPr>
                <w:rFonts w:ascii="SimSun" w:eastAsia="SimSun" w:hAnsi="SimSun" w:cs="SimSun"/>
                <w:b w:val="0"/>
                <w:bCs w:val="0"/>
                <w:i w:val="0"/>
                <w:iCs w:val="0"/>
                <w:smallCaps w:val="0"/>
                <w:color w:val="666666"/>
                <w:sz w:val="21"/>
                <w:szCs w:val="21"/>
              </w:rPr>
              <w:t>级。</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五、内蒙古专业录取实行</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招生计划</w:t>
            </w:r>
            <w:r>
              <w:rPr>
                <w:rFonts w:ascii="Times New Roman" w:eastAsia="Times New Roman" w:hAnsi="Times New Roman" w:cs="Times New Roman"/>
                <w:b w:val="0"/>
                <w:bCs w:val="0"/>
                <w:i w:val="0"/>
                <w:iCs w:val="0"/>
                <w:smallCaps w:val="0"/>
                <w:color w:val="666666"/>
                <w:sz w:val="21"/>
                <w:szCs w:val="21"/>
              </w:rPr>
              <w:t>1:1</w:t>
            </w:r>
            <w:r>
              <w:rPr>
                <w:rFonts w:ascii="SimSun" w:eastAsia="SimSun" w:hAnsi="SimSun" w:cs="SimSun"/>
                <w:b w:val="0"/>
                <w:bCs w:val="0"/>
                <w:i w:val="0"/>
                <w:iCs w:val="0"/>
                <w:smallCaps w:val="0"/>
                <w:color w:val="666666"/>
                <w:sz w:val="21"/>
                <w:szCs w:val="21"/>
              </w:rPr>
              <w:t>范围内按专业志愿排队录取</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的录取原则。</w:t>
            </w:r>
          </w:p>
        </w:tc>
      </w:tr>
      <w:tr>
        <w:tblPrEx>
          <w:tblW w:w="14327" w:type="dxa"/>
          <w:jc w:val="center"/>
          <w:tblInd w:w="135" w:type="dxa"/>
          <w:tblCellMar>
            <w:top w:w="15" w:type="dxa"/>
            <w:left w:w="15" w:type="dxa"/>
            <w:bottom w:w="15" w:type="dxa"/>
            <w:right w:w="15" w:type="dxa"/>
          </w:tblCellMar>
        </w:tblPrEx>
        <w:trPr>
          <w:jc w:val="center"/>
        </w:trPr>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十二、收费标准</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学费标准</w:t>
            </w:r>
          </w:p>
        </w:tc>
        <w:tc>
          <w:tcPr>
            <w:tcW w:w="7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w:t>
            </w:r>
            <w:r>
              <w:rPr>
                <w:rFonts w:ascii="SimSun" w:eastAsia="SimSun" w:hAnsi="SimSun" w:cs="SimSun"/>
                <w:b w:val="0"/>
                <w:bCs w:val="0"/>
                <w:i w:val="0"/>
                <w:iCs w:val="0"/>
                <w:smallCaps w:val="0"/>
                <w:color w:val="666666"/>
                <w:sz w:val="21"/>
                <w:szCs w:val="21"/>
              </w:rPr>
              <w:t>、高职教育一般专业每生每学年</w:t>
            </w:r>
            <w:r>
              <w:rPr>
                <w:rFonts w:ascii="Times New Roman" w:eastAsia="Times New Roman" w:hAnsi="Times New Roman" w:cs="Times New Roman"/>
                <w:b w:val="0"/>
                <w:bCs w:val="0"/>
                <w:i w:val="0"/>
                <w:iCs w:val="0"/>
                <w:smallCaps w:val="0"/>
                <w:color w:val="666666"/>
                <w:sz w:val="21"/>
                <w:szCs w:val="21"/>
              </w:rPr>
              <w:t>7500</w:t>
            </w:r>
            <w:r>
              <w:rPr>
                <w:rFonts w:ascii="SimSun" w:eastAsia="SimSun" w:hAnsi="SimSun" w:cs="SimSun"/>
                <w:b w:val="0"/>
                <w:bCs w:val="0"/>
                <w:i w:val="0"/>
                <w:iCs w:val="0"/>
                <w:smallCaps w:val="0"/>
                <w:color w:val="666666"/>
                <w:sz w:val="21"/>
                <w:szCs w:val="21"/>
              </w:rPr>
              <w:t>元（沪价行</w:t>
            </w:r>
            <w:r>
              <w:rPr>
                <w:rFonts w:ascii="Times New Roman" w:eastAsia="Times New Roman" w:hAnsi="Times New Roman" w:cs="Times New Roman"/>
                <w:b w:val="0"/>
                <w:bCs w:val="0"/>
                <w:i w:val="0"/>
                <w:iCs w:val="0"/>
                <w:smallCaps w:val="0"/>
                <w:color w:val="666666"/>
                <w:sz w:val="21"/>
                <w:szCs w:val="21"/>
              </w:rPr>
              <w:t>[2000]120</w:t>
            </w:r>
            <w:r>
              <w:rPr>
                <w:rFonts w:ascii="SimSun" w:eastAsia="SimSun" w:hAnsi="SimSun" w:cs="SimSun"/>
                <w:b w:val="0"/>
                <w:bCs w:val="0"/>
                <w:i w:val="0"/>
                <w:iCs w:val="0"/>
                <w:smallCaps w:val="0"/>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w:t>
            </w:r>
            <w:r>
              <w:rPr>
                <w:rFonts w:ascii="SimSun" w:eastAsia="SimSun" w:hAnsi="SimSun" w:cs="SimSun"/>
                <w:b w:val="0"/>
                <w:bCs w:val="0"/>
                <w:i w:val="0"/>
                <w:iCs w:val="0"/>
                <w:smallCaps w:val="0"/>
                <w:color w:val="666666"/>
                <w:sz w:val="21"/>
                <w:szCs w:val="21"/>
              </w:rPr>
              <w:t>、艺术类专业每生每学年</w:t>
            </w:r>
            <w:r>
              <w:rPr>
                <w:rFonts w:ascii="Times New Roman" w:eastAsia="Times New Roman" w:hAnsi="Times New Roman" w:cs="Times New Roman"/>
                <w:b w:val="0"/>
                <w:bCs w:val="0"/>
                <w:i w:val="0"/>
                <w:iCs w:val="0"/>
                <w:smallCaps w:val="0"/>
                <w:color w:val="666666"/>
                <w:sz w:val="21"/>
                <w:szCs w:val="21"/>
              </w:rPr>
              <w:t>10000</w:t>
            </w:r>
            <w:r>
              <w:rPr>
                <w:rFonts w:ascii="SimSun" w:eastAsia="SimSun" w:hAnsi="SimSun" w:cs="SimSun"/>
                <w:b w:val="0"/>
                <w:bCs w:val="0"/>
                <w:i w:val="0"/>
                <w:iCs w:val="0"/>
                <w:smallCaps w:val="0"/>
                <w:color w:val="666666"/>
                <w:sz w:val="21"/>
                <w:szCs w:val="21"/>
              </w:rPr>
              <w:t>元（沪价行</w:t>
            </w:r>
            <w:r>
              <w:rPr>
                <w:rFonts w:ascii="Times New Roman" w:eastAsia="Times New Roman" w:hAnsi="Times New Roman" w:cs="Times New Roman"/>
                <w:b w:val="0"/>
                <w:bCs w:val="0"/>
                <w:i w:val="0"/>
                <w:iCs w:val="0"/>
                <w:smallCaps w:val="0"/>
                <w:color w:val="666666"/>
                <w:sz w:val="21"/>
                <w:szCs w:val="21"/>
              </w:rPr>
              <w:t>[2000]120</w:t>
            </w:r>
            <w:r>
              <w:rPr>
                <w:rFonts w:ascii="SimSun" w:eastAsia="SimSun" w:hAnsi="SimSun" w:cs="SimSun"/>
                <w:b w:val="0"/>
                <w:bCs w:val="0"/>
                <w:i w:val="0"/>
                <w:iCs w:val="0"/>
                <w:smallCaps w:val="0"/>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、工商企业管理</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中法合作</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专业每生每学年</w:t>
            </w:r>
            <w:r>
              <w:rPr>
                <w:rFonts w:ascii="Times New Roman" w:eastAsia="Times New Roman" w:hAnsi="Times New Roman" w:cs="Times New Roman"/>
                <w:b w:val="0"/>
                <w:bCs w:val="0"/>
                <w:i w:val="0"/>
                <w:iCs w:val="0"/>
                <w:smallCaps w:val="0"/>
                <w:color w:val="666666"/>
                <w:sz w:val="21"/>
                <w:szCs w:val="21"/>
              </w:rPr>
              <w:t>16000</w:t>
            </w:r>
            <w:r>
              <w:rPr>
                <w:rFonts w:ascii="SimSun" w:eastAsia="SimSun" w:hAnsi="SimSun" w:cs="SimSun"/>
                <w:b w:val="0"/>
                <w:bCs w:val="0"/>
                <w:i w:val="0"/>
                <w:iCs w:val="0"/>
                <w:smallCaps w:val="0"/>
                <w:color w:val="666666"/>
                <w:sz w:val="21"/>
                <w:szCs w:val="21"/>
              </w:rPr>
              <w:t>元（沪价费</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2014</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27</w:t>
            </w:r>
            <w:r>
              <w:rPr>
                <w:rFonts w:ascii="SimSun" w:eastAsia="SimSun" w:hAnsi="SimSun" w:cs="SimSun"/>
                <w:b w:val="0"/>
                <w:bCs w:val="0"/>
                <w:i w:val="0"/>
                <w:iCs w:val="0"/>
                <w:smallCaps w:val="0"/>
                <w:color w:val="666666"/>
                <w:sz w:val="21"/>
                <w:szCs w:val="21"/>
              </w:rPr>
              <w:t>号）</w:t>
            </w:r>
          </w:p>
        </w:tc>
      </w:tr>
      <w:tr>
        <w:tblPrEx>
          <w:tblW w:w="14327" w:type="dxa"/>
          <w:jc w:val="center"/>
          <w:tblInd w:w="135" w:type="dxa"/>
          <w:tblCellMar>
            <w:top w:w="15" w:type="dxa"/>
            <w:left w:w="15" w:type="dxa"/>
            <w:bottom w:w="15" w:type="dxa"/>
            <w:right w:w="15" w:type="dxa"/>
          </w:tblCellMar>
        </w:tblPrEx>
        <w:trPr>
          <w:jc w:val="center"/>
        </w:trPr>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住宿费标准</w:t>
            </w:r>
          </w:p>
        </w:tc>
        <w:tc>
          <w:tcPr>
            <w:tcW w:w="7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每生每学年不超过</w:t>
            </w:r>
            <w:r>
              <w:rPr>
                <w:rFonts w:ascii="Times New Roman" w:eastAsia="Times New Roman" w:hAnsi="Times New Roman" w:cs="Times New Roman"/>
                <w:b w:val="0"/>
                <w:bCs w:val="0"/>
                <w:i w:val="0"/>
                <w:iCs w:val="0"/>
                <w:smallCaps w:val="0"/>
                <w:color w:val="666666"/>
                <w:sz w:val="21"/>
                <w:szCs w:val="21"/>
              </w:rPr>
              <w:t>1200</w:t>
            </w:r>
            <w:r>
              <w:rPr>
                <w:rFonts w:ascii="SimSun" w:eastAsia="SimSun" w:hAnsi="SimSun" w:cs="SimSun"/>
                <w:b w:val="0"/>
                <w:bCs w:val="0"/>
                <w:i w:val="0"/>
                <w:iCs w:val="0"/>
                <w:smallCaps w:val="0"/>
                <w:color w:val="666666"/>
                <w:sz w:val="21"/>
                <w:szCs w:val="21"/>
              </w:rPr>
              <w:t>元（沪价费</w:t>
            </w:r>
            <w:r>
              <w:rPr>
                <w:rFonts w:ascii="Times New Roman" w:eastAsia="Times New Roman" w:hAnsi="Times New Roman" w:cs="Times New Roman"/>
                <w:b w:val="0"/>
                <w:bCs w:val="0"/>
                <w:i w:val="0"/>
                <w:iCs w:val="0"/>
                <w:smallCaps w:val="0"/>
                <w:color w:val="666666"/>
                <w:sz w:val="21"/>
                <w:szCs w:val="21"/>
              </w:rPr>
              <w:t>[2003]56</w:t>
            </w:r>
            <w:r>
              <w:rPr>
                <w:rFonts w:ascii="SimSun" w:eastAsia="SimSun" w:hAnsi="SimSun" w:cs="SimSun"/>
                <w:b w:val="0"/>
                <w:bCs w:val="0"/>
                <w:i w:val="0"/>
                <w:iCs w:val="0"/>
                <w:smallCaps w:val="0"/>
                <w:color w:val="666666"/>
                <w:sz w:val="21"/>
                <w:szCs w:val="21"/>
              </w:rPr>
              <w:t>号、沪财预</w:t>
            </w:r>
            <w:r>
              <w:rPr>
                <w:rFonts w:ascii="Times New Roman" w:eastAsia="Times New Roman" w:hAnsi="Times New Roman" w:cs="Times New Roman"/>
                <w:b w:val="0"/>
                <w:bCs w:val="0"/>
                <w:i w:val="0"/>
                <w:iCs w:val="0"/>
                <w:smallCaps w:val="0"/>
                <w:color w:val="666666"/>
                <w:sz w:val="21"/>
                <w:szCs w:val="21"/>
              </w:rPr>
              <w:t>[2003]93</w:t>
            </w:r>
            <w:r>
              <w:rPr>
                <w:rFonts w:ascii="SimSun" w:eastAsia="SimSun" w:hAnsi="SimSun" w:cs="SimSun"/>
                <w:b w:val="0"/>
                <w:bCs w:val="0"/>
                <w:i w:val="0"/>
                <w:iCs w:val="0"/>
                <w:smallCaps w:val="0"/>
                <w:color w:val="666666"/>
                <w:sz w:val="21"/>
                <w:szCs w:val="21"/>
              </w:rPr>
              <w:t>号）</w:t>
            </w:r>
          </w:p>
        </w:tc>
      </w:tr>
      <w:tr>
        <w:tblPrEx>
          <w:tblW w:w="14327" w:type="dxa"/>
          <w:jc w:val="center"/>
          <w:tblInd w:w="135" w:type="dxa"/>
          <w:tblCellMar>
            <w:top w:w="15" w:type="dxa"/>
            <w:left w:w="15" w:type="dxa"/>
            <w:bottom w:w="15" w:type="dxa"/>
            <w:right w:w="15" w:type="dxa"/>
          </w:tblCellMar>
        </w:tblPrEx>
        <w:trPr>
          <w:jc w:val="center"/>
        </w:trPr>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十三、资助政策</w:t>
            </w:r>
          </w:p>
        </w:tc>
        <w:tc>
          <w:tcPr>
            <w:tcW w:w="7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我校认真执行国家和上海市相关学生资助规定，被本校录取的家庭经济困难学生可通过</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绿色通道</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申请入学，入学后可按规定申请国家奖学金、国家励志奖学金、上海市奖学金、国家助学金、国家助学贷款、勤工助学岗位、特殊困难补助和学费减免等。同时，学校还设立综合奖学金和单项奖学金。我校承诺：确保被本校录取的学生不因家庭经济困难而辍学。</w:t>
            </w:r>
          </w:p>
        </w:tc>
      </w:tr>
      <w:tr>
        <w:tblPrEx>
          <w:tblW w:w="14327" w:type="dxa"/>
          <w:jc w:val="center"/>
          <w:tblInd w:w="135" w:type="dxa"/>
          <w:tblCellMar>
            <w:top w:w="15" w:type="dxa"/>
            <w:left w:w="15" w:type="dxa"/>
            <w:bottom w:w="15" w:type="dxa"/>
            <w:right w:w="15" w:type="dxa"/>
          </w:tblCellMar>
        </w:tblPrEx>
        <w:trPr>
          <w:jc w:val="center"/>
        </w:trPr>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十四、监督机制及举报电话</w:t>
            </w:r>
          </w:p>
        </w:tc>
        <w:tc>
          <w:tcPr>
            <w:tcW w:w="7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按照招生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阳光工程</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的统一要求，我校秋季统一考试招生全程接受本校招生监察小组监督。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举报电话：</w:t>
            </w:r>
            <w:r>
              <w:rPr>
                <w:rFonts w:ascii="Times New Roman" w:eastAsia="Times New Roman" w:hAnsi="Times New Roman" w:cs="Times New Roman"/>
                <w:b w:val="0"/>
                <w:bCs w:val="0"/>
                <w:i w:val="0"/>
                <w:iCs w:val="0"/>
                <w:smallCaps w:val="0"/>
                <w:color w:val="666666"/>
                <w:sz w:val="21"/>
                <w:szCs w:val="21"/>
              </w:rPr>
              <w:t>021—56958255</w:t>
            </w:r>
          </w:p>
        </w:tc>
      </w:tr>
      <w:tr>
        <w:tblPrEx>
          <w:tblW w:w="14327" w:type="dxa"/>
          <w:jc w:val="center"/>
          <w:tblInd w:w="135" w:type="dxa"/>
          <w:tblCellMar>
            <w:top w:w="15" w:type="dxa"/>
            <w:left w:w="15" w:type="dxa"/>
            <w:bottom w:w="15" w:type="dxa"/>
            <w:right w:w="15" w:type="dxa"/>
          </w:tblCellMar>
        </w:tblPrEx>
        <w:trPr>
          <w:jc w:val="center"/>
        </w:trPr>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十五、网址及联系电话</w:t>
            </w:r>
          </w:p>
        </w:tc>
        <w:tc>
          <w:tcPr>
            <w:tcW w:w="7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学校官网：</w:t>
            </w:r>
            <w:r>
              <w:rPr>
                <w:rFonts w:ascii="Times New Roman" w:eastAsia="Times New Roman" w:hAnsi="Times New Roman" w:cs="Times New Roman"/>
                <w:b w:val="0"/>
                <w:bCs w:val="0"/>
                <w:i w:val="0"/>
                <w:iCs w:val="0"/>
                <w:smallCaps w:val="0"/>
                <w:color w:val="666666"/>
                <w:sz w:val="21"/>
                <w:szCs w:val="21"/>
              </w:rPr>
              <w:t xml:space="preserve"> www.shxj.edu.cn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招生处（办）官网：</w:t>
            </w:r>
            <w:r>
              <w:rPr>
                <w:rFonts w:ascii="Times New Roman" w:eastAsia="Times New Roman" w:hAnsi="Times New Roman" w:cs="Times New Roman"/>
                <w:b w:val="0"/>
                <w:bCs w:val="0"/>
                <w:i w:val="0"/>
                <w:iCs w:val="0"/>
                <w:smallCaps w:val="0"/>
                <w:color w:val="666666"/>
                <w:sz w:val="21"/>
                <w:szCs w:val="21"/>
              </w:rPr>
              <w:t xml:space="preserve">   zs.shxj.edu.cn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咨询电话：</w:t>
            </w:r>
            <w:r>
              <w:rPr>
                <w:rFonts w:ascii="Times New Roman" w:eastAsia="Times New Roman" w:hAnsi="Times New Roman" w:cs="Times New Roman"/>
                <w:b w:val="0"/>
                <w:bCs w:val="0"/>
                <w:i w:val="0"/>
                <w:iCs w:val="0"/>
                <w:smallCaps w:val="0"/>
                <w:color w:val="666666"/>
                <w:sz w:val="21"/>
                <w:szCs w:val="21"/>
              </w:rPr>
              <w:t>021-66109601</w:t>
            </w:r>
          </w:p>
        </w:tc>
      </w:tr>
      <w:tr>
        <w:tblPrEx>
          <w:tblW w:w="14327" w:type="dxa"/>
          <w:jc w:val="center"/>
          <w:tblInd w:w="135" w:type="dxa"/>
          <w:tblCellMar>
            <w:top w:w="15" w:type="dxa"/>
            <w:left w:w="15" w:type="dxa"/>
            <w:bottom w:w="15" w:type="dxa"/>
            <w:right w:w="15" w:type="dxa"/>
          </w:tblCellMar>
        </w:tblPrEx>
        <w:trPr>
          <w:jc w:val="center"/>
        </w:trPr>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r>
              <w:rPr>
                <w:rFonts w:ascii="SimSun" w:eastAsia="SimSun" w:hAnsi="SimSun" w:cs="SimSun"/>
                <w:b/>
                <w:bCs/>
                <w:i w:val="0"/>
                <w:iCs w:val="0"/>
                <w:smallCaps w:val="0"/>
                <w:color w:val="000000"/>
                <w:sz w:val="21"/>
                <w:szCs w:val="21"/>
              </w:rPr>
              <w:t>十六、其他须知</w:t>
            </w:r>
          </w:p>
        </w:tc>
        <w:tc>
          <w:tcPr>
            <w:tcW w:w="7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年上海电子信息职业技术学院秋季招生章程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年上海杉达学院招生章程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70.html" TargetMode="External" /><Relationship Id="rId5" Type="http://schemas.openxmlformats.org/officeDocument/2006/relationships/hyperlink" Target="http://www.gk114.com/a/gxzs/zszc/shanghai/2020/0701/17272.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