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年上海音乐学院招生章程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73"/>
        <w:gridCol w:w="12"/>
        <w:gridCol w:w="1131"/>
        <w:gridCol w:w="1"/>
        <w:gridCol w:w="27063"/>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上海音乐学院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汾阳路校区（上海市汾阳路</w:t>
            </w:r>
            <w:r>
              <w:rPr>
                <w:rFonts w:ascii="Times New Roman" w:eastAsia="Times New Roman" w:hAnsi="Times New Roman" w:cs="Times New Roman"/>
                <w:b w:val="0"/>
                <w:bCs w:val="0"/>
                <w:i w:val="0"/>
                <w:iCs w:val="0"/>
                <w:smallCaps w:val="0"/>
                <w:color w:val="666666"/>
                <w:sz w:val="21"/>
                <w:szCs w:val="21"/>
              </w:rPr>
              <w:t>20</w:t>
            </w:r>
            <w:r>
              <w:rPr>
                <w:rFonts w:ascii="SimSun" w:eastAsia="SimSun" w:hAnsi="SimSun" w:cs="SimSun"/>
                <w:b w:val="0"/>
                <w:bCs w:val="0"/>
                <w:i w:val="0"/>
                <w:iCs w:val="0"/>
                <w:smallCaps w:val="0"/>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零陵路校区（上海市零陵路</w:t>
            </w:r>
            <w:r>
              <w:rPr>
                <w:rFonts w:ascii="Times New Roman" w:eastAsia="Times New Roman" w:hAnsi="Times New Roman" w:cs="Times New Roman"/>
                <w:b w:val="0"/>
                <w:bCs w:val="0"/>
                <w:i w:val="0"/>
                <w:iCs w:val="0"/>
                <w:smallCaps w:val="0"/>
                <w:color w:val="666666"/>
                <w:sz w:val="21"/>
                <w:szCs w:val="21"/>
              </w:rPr>
              <w:t>520</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上海音乐学院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修学期满，符合毕业要求，颁发上海音乐学院的本科毕业证书。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招生委员会是我校招生工作的最高决策机构，统一领导学校招生工作；招生办公室是我校组织和实施招生工作的常设机构，负责学校秋季统一招生的日常工作；招生监督办公室是我校招生工作纪检监察机构。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三、本年度我校分省分专业招生计划、高考改革省市选考科目要求等详见各省级招生主管部门（以下简称省招办）编印的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预留计划不超过本科招生总计划的</w:t>
            </w: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，用于调节各地统考上线生源的不平衡。</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入学外语考试语种不限，进校后教学外语统一为英语。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省级招办按我校在当地的招生计划数和投档比例将第一志愿报考我校的生源从高分到低分（含加分）进行投档。具体的投档比例由我校根据各省市实际生源情况确定，原则上投档比例为</w:t>
            </w:r>
            <w:r>
              <w:rPr>
                <w:rFonts w:ascii="Times New Roman" w:eastAsia="Times New Roman" w:hAnsi="Times New Roman" w:cs="Times New Roman"/>
                <w:b w:val="0"/>
                <w:bCs w:val="0"/>
                <w:i w:val="0"/>
                <w:iCs w:val="0"/>
                <w:smallCaps w:val="0"/>
                <w:color w:val="666666"/>
                <w:sz w:val="21"/>
                <w:szCs w:val="21"/>
              </w:rPr>
              <w:t>100%</w:t>
            </w:r>
            <w:r>
              <w:rPr>
                <w:rFonts w:ascii="SimSun" w:eastAsia="SimSun" w:hAnsi="SimSun" w:cs="SimSun"/>
                <w:b w:val="0"/>
                <w:bCs w:val="0"/>
                <w:i w:val="0"/>
                <w:iCs w:val="0"/>
                <w:smallCaps w:val="0"/>
                <w:color w:val="666666"/>
                <w:sz w:val="21"/>
                <w:szCs w:val="21"/>
              </w:rPr>
              <w:t>。按照平行志愿投档的批次，原则上投档比例为</w:t>
            </w:r>
            <w:r>
              <w:rPr>
                <w:rFonts w:ascii="Times New Roman" w:eastAsia="Times New Roman" w:hAnsi="Times New Roman" w:cs="Times New Roman"/>
                <w:b w:val="0"/>
                <w:bCs w:val="0"/>
                <w:i w:val="0"/>
                <w:iCs w:val="0"/>
                <w:smallCaps w:val="0"/>
                <w:color w:val="666666"/>
                <w:sz w:val="21"/>
                <w:szCs w:val="21"/>
              </w:rPr>
              <w:t>100%</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r>
              <w:rPr>
                <w:rFonts w:ascii="SimSun" w:eastAsia="SimSun" w:hAnsi="SimSun" w:cs="SimSun"/>
                <w:b w:val="0"/>
                <w:bCs w:val="0"/>
                <w:i w:val="0"/>
                <w:iCs w:val="0"/>
                <w:smallCaps w:val="0"/>
                <w:color w:val="666666"/>
                <w:sz w:val="21"/>
                <w:szCs w:val="21"/>
              </w:rPr>
              <w:t>进档考生按所填专业志愿顺序，从高分到低分择优录取。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如高考总分相同，不分文理科的省（市）在录取时按当地省级招办制定的同分排序规则处理（上海考生按同分规则处理后仍同分者，参考我院《普通高中学生综合素质评价信息使用办法》中的相关内容择优录取），分文、理科的省（市），在录取时文科以语文、外语、数学科目成绩高低的顺序录取；理科以数学、外语、语文科目成绩高低的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二、非艺术类专业第一志愿生源不足时，省级招办可在同批次录取控制分数线上，按非第一志愿考生（包括征集志愿）人数不超过招生计划剩余数的</w:t>
            </w:r>
            <w:r>
              <w:rPr>
                <w:rFonts w:ascii="Times New Roman" w:eastAsia="Times New Roman" w:hAnsi="Times New Roman" w:cs="Times New Roman"/>
                <w:b w:val="0"/>
                <w:bCs w:val="0"/>
                <w:i w:val="0"/>
                <w:iCs w:val="0"/>
                <w:smallCaps w:val="0"/>
                <w:color w:val="666666"/>
                <w:sz w:val="21"/>
                <w:szCs w:val="21"/>
              </w:rPr>
              <w:t>100%</w:t>
            </w:r>
            <w:r>
              <w:rPr>
                <w:rFonts w:ascii="SimSun" w:eastAsia="SimSun" w:hAnsi="SimSun" w:cs="SimSun"/>
                <w:b w:val="0"/>
                <w:bCs w:val="0"/>
                <w:i w:val="0"/>
                <w:iCs w:val="0"/>
                <w:smallCaps w:val="0"/>
                <w:color w:val="666666"/>
                <w:sz w:val="21"/>
                <w:szCs w:val="21"/>
              </w:rPr>
              <w:t>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四、艺术类专业均需本院校考专业合格。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五、在江苏省，报考我校艺术类批次考生的学业水平测试按当年江苏省招生办公布标准执行。</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10000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年【沪价行（</w:t>
            </w:r>
            <w:r>
              <w:rPr>
                <w:rFonts w:ascii="Times New Roman" w:eastAsia="Times New Roman" w:hAnsi="Times New Roman" w:cs="Times New Roman"/>
                <w:b w:val="0"/>
                <w:bCs w:val="0"/>
                <w:i w:val="0"/>
                <w:iCs w:val="0"/>
                <w:smallCaps w:val="0"/>
                <w:color w:val="666666"/>
                <w:sz w:val="21"/>
                <w:szCs w:val="21"/>
              </w:rPr>
              <w:t>2000</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录音艺术专业（中外合作办学），</w:t>
            </w:r>
            <w:r>
              <w:rPr>
                <w:rFonts w:ascii="Times New Roman" w:eastAsia="Times New Roman" w:hAnsi="Times New Roman" w:cs="Times New Roman"/>
                <w:b w:val="0"/>
                <w:bCs w:val="0"/>
                <w:i w:val="0"/>
                <w:iCs w:val="0"/>
                <w:smallCaps w:val="0"/>
                <w:color w:val="666666"/>
                <w:sz w:val="21"/>
                <w:szCs w:val="21"/>
              </w:rPr>
              <w:t>30000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年【沪教委财（</w:t>
            </w:r>
            <w:r>
              <w:rPr>
                <w:rFonts w:ascii="Times New Roman" w:eastAsia="Times New Roman" w:hAnsi="Times New Roman" w:cs="Times New Roman"/>
                <w:b w:val="0"/>
                <w:bCs w:val="0"/>
                <w:i w:val="0"/>
                <w:iCs w:val="0"/>
                <w:smallCaps w:val="0"/>
                <w:color w:val="666666"/>
                <w:sz w:val="21"/>
                <w:szCs w:val="21"/>
              </w:rPr>
              <w:t>2005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34</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年【沪教委财（</w:t>
            </w:r>
            <w:r>
              <w:rPr>
                <w:rFonts w:ascii="Times New Roman" w:eastAsia="Times New Roman" w:hAnsi="Times New Roman" w:cs="Times New Roman"/>
                <w:b w:val="0"/>
                <w:bCs w:val="0"/>
                <w:i w:val="0"/>
                <w:iCs w:val="0"/>
                <w:smallCaps w:val="0"/>
                <w:color w:val="666666"/>
                <w:sz w:val="21"/>
                <w:szCs w:val="21"/>
              </w:rPr>
              <w:t>2012</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118</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设立傅成贤奖学金、福美助学金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的统一要求，我校秋季统一考试招生全程接受本校招生监督办公室监督。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021-64317667</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www.shcmusic.edu.cn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招生处（办）官网：</w:t>
            </w:r>
            <w:r>
              <w:rPr>
                <w:rFonts w:ascii="Times New Roman" w:eastAsia="Times New Roman" w:hAnsi="Times New Roman" w:cs="Times New Roman"/>
                <w:b w:val="0"/>
                <w:bCs w:val="0"/>
                <w:i w:val="0"/>
                <w:iCs w:val="0"/>
                <w:smallCaps w:val="0"/>
                <w:color w:val="666666"/>
                <w:sz w:val="21"/>
                <w:szCs w:val="21"/>
              </w:rPr>
              <w:t>jwc.shcmusic.edu.cn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021-64316349,64376411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咨询邮箱：</w:t>
            </w:r>
            <w:r>
              <w:rPr>
                <w:rFonts w:ascii="Times New Roman" w:eastAsia="Times New Roman" w:hAnsi="Times New Roman" w:cs="Times New Roman"/>
                <w:b w:val="0"/>
                <w:bCs w:val="0"/>
                <w:i w:val="0"/>
                <w:iCs w:val="0"/>
                <w:smallCaps w:val="0"/>
                <w:color w:val="666666"/>
                <w:sz w:val="21"/>
                <w:szCs w:val="21"/>
              </w:rPr>
              <w:t>zb@shcmusic.edu.cn</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上海出版印刷高等专科学校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6.html" TargetMode="External" /><Relationship Id="rId5" Type="http://schemas.openxmlformats.org/officeDocument/2006/relationships/hyperlink" Target="http://www.gk114.com/a/gxzs/zszc/shanghai/2020/0701/1725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