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年天津商务职业学院普通高职招生章程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第一条：根据《中华人民共和国教育法》、《中华人民共和国高等教育法》等相关法律法规，为了维护学校和考生的合法权益，依法招生，结合天津商务职业学院招生工作实际，制定本章程。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第二条：本章程是社会了解天津商务职业学院有关招生政策、规定及相关信息的主要渠道，是天津商务职业学院开展招生咨询和录取工作的主要依据。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一、学校名称：天津商务职业学院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12788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五、学校地址：天津海河教育园区雅观路</w:t>
      </w:r>
      <w:r>
        <w:rPr>
          <w:rFonts w:ascii="Times New Roman" w:eastAsia="Times New Roman" w:hAnsi="Times New Roman" w:cs="Times New Roman"/>
        </w:rPr>
        <w:t>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天津商务职业学院是经天津市人民政府批准、国家教育部备案的全日制普通高等职业学校，始建于</w:t>
      </w:r>
      <w:r>
        <w:rPr>
          <w:rFonts w:ascii="Times New Roman" w:eastAsia="Times New Roman" w:hAnsi="Times New Roman" w:cs="Times New Roman"/>
        </w:rPr>
        <w:t>1955</w:t>
      </w:r>
      <w:r>
        <w:rPr>
          <w:rFonts w:ascii="SimSun" w:eastAsia="SimSun" w:hAnsi="SimSun" w:cs="SimSun"/>
        </w:rPr>
        <w:t>年。建校以来，学校秉承</w:t>
      </w:r>
      <w:r>
        <w:rPr>
          <w:rFonts w:ascii="Times New Roman" w:eastAsia="Times New Roman" w:hAnsi="Times New Roman" w:cs="Times New Roman"/>
        </w:rPr>
        <w:t>“</w:t>
      </w:r>
      <w:r>
        <w:rPr>
          <w:rFonts w:ascii="SimSun" w:eastAsia="SimSun" w:hAnsi="SimSun" w:cs="SimSun"/>
        </w:rPr>
        <w:t>厚德尚能，励学弘商</w:t>
      </w:r>
      <w:r>
        <w:rPr>
          <w:rFonts w:ascii="Times New Roman" w:eastAsia="Times New Roman" w:hAnsi="Times New Roman" w:cs="Times New Roman"/>
        </w:rPr>
        <w:t>”</w:t>
      </w:r>
      <w:r>
        <w:rPr>
          <w:rFonts w:ascii="SimSun" w:eastAsia="SimSun" w:hAnsi="SimSun" w:cs="SimSun"/>
        </w:rPr>
        <w:t>的校训，积累了丰富的办学经验，形成了鲜明的办学特色，成为一所系统培养现代服务业高技能人才的天津市首批高职示范校。迄今为止，已先后为国家培养了</w:t>
      </w:r>
      <w:r>
        <w:rPr>
          <w:rFonts w:ascii="Times New Roman" w:eastAsia="Times New Roman" w:hAnsi="Times New Roman" w:cs="Times New Roman"/>
        </w:rPr>
        <w:t>14</w:t>
      </w:r>
      <w:r>
        <w:rPr>
          <w:rFonts w:ascii="SimSun" w:eastAsia="SimSun" w:hAnsi="SimSun" w:cs="SimSun"/>
        </w:rPr>
        <w:t>万余名学生，很多毕业生成为企业骨干，商界精英。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学校现有海河教育园校区、河东校区及河西校区三个校区，总占地面积</w:t>
      </w:r>
      <w:r>
        <w:rPr>
          <w:rFonts w:ascii="Times New Roman" w:eastAsia="Times New Roman" w:hAnsi="Times New Roman" w:cs="Times New Roman"/>
        </w:rPr>
        <w:t>50</w:t>
      </w:r>
      <w:r>
        <w:rPr>
          <w:rFonts w:ascii="SimSun" w:eastAsia="SimSun" w:hAnsi="SimSun" w:cs="SimSun"/>
        </w:rPr>
        <w:t>万平方米，建筑面积</w:t>
      </w:r>
      <w:r>
        <w:rPr>
          <w:rFonts w:ascii="Times New Roman" w:eastAsia="Times New Roman" w:hAnsi="Times New Roman" w:cs="Times New Roman"/>
        </w:rPr>
        <w:t>20</w:t>
      </w:r>
      <w:r>
        <w:rPr>
          <w:rFonts w:ascii="SimSun" w:eastAsia="SimSun" w:hAnsi="SimSun" w:cs="SimSun"/>
        </w:rPr>
        <w:t>万平方米。学校设有</w:t>
      </w:r>
      <w:r>
        <w:rPr>
          <w:rFonts w:ascii="Times New Roman" w:eastAsia="Times New Roman" w:hAnsi="Times New Roman" w:cs="Times New Roman"/>
        </w:rPr>
        <w:t>8</w:t>
      </w:r>
      <w:r>
        <w:rPr>
          <w:rFonts w:ascii="SimSun" w:eastAsia="SimSun" w:hAnsi="SimSun" w:cs="SimSun"/>
        </w:rPr>
        <w:t>个二级学院和</w:t>
      </w:r>
      <w:r>
        <w:rPr>
          <w:rFonts w:ascii="Times New Roman" w:eastAsia="Times New Roman" w:hAnsi="Times New Roman" w:cs="Times New Roman"/>
        </w:rPr>
        <w:t>4</w:t>
      </w:r>
      <w:r>
        <w:rPr>
          <w:rFonts w:ascii="SimSun" w:eastAsia="SimSun" w:hAnsi="SimSun" w:cs="SimSun"/>
        </w:rPr>
        <w:t>个教学部，分别是国际贸易学院、应用外语学院、营销学院、会计学院、信息技术学院、旅游学院、广告学院、金融学院、马列教学部、体育教学部、公共外语教学部、德育教学部。</w:t>
      </w:r>
      <w:r>
        <w:rPr>
          <w:rFonts w:ascii="Times New Roman" w:eastAsia="Times New Roman" w:hAnsi="Times New Roman" w:cs="Times New Roman"/>
        </w:rPr>
        <w:t xml:space="preserve"> </w:t>
      </w:r>
      <w:r>
        <w:rPr>
          <w:rFonts w:ascii="SimSun" w:eastAsia="SimSun" w:hAnsi="SimSun" w:cs="SimSun"/>
        </w:rPr>
        <w:t>全日制在校生</w:t>
      </w:r>
      <w:r>
        <w:rPr>
          <w:rFonts w:ascii="Times New Roman" w:eastAsia="Times New Roman" w:hAnsi="Times New Roman" w:cs="Times New Roman"/>
        </w:rPr>
        <w:t>8697</w:t>
      </w:r>
      <w:r>
        <w:rPr>
          <w:rFonts w:ascii="SimSun" w:eastAsia="SimSun" w:hAnsi="SimSun" w:cs="SimSun"/>
        </w:rPr>
        <w:t>人。学校教职工</w:t>
      </w:r>
      <w:r>
        <w:rPr>
          <w:rFonts w:ascii="Times New Roman" w:eastAsia="Times New Roman" w:hAnsi="Times New Roman" w:cs="Times New Roman"/>
        </w:rPr>
        <w:t>432</w:t>
      </w:r>
      <w:r>
        <w:rPr>
          <w:rFonts w:ascii="SimSun" w:eastAsia="SimSun" w:hAnsi="SimSun" w:cs="SimSun"/>
        </w:rPr>
        <w:t>人，其中专任教师</w:t>
      </w:r>
      <w:r>
        <w:rPr>
          <w:rFonts w:ascii="Times New Roman" w:eastAsia="Times New Roman" w:hAnsi="Times New Roman" w:cs="Times New Roman"/>
        </w:rPr>
        <w:t>361</w:t>
      </w:r>
      <w:r>
        <w:rPr>
          <w:rFonts w:ascii="SimSun" w:eastAsia="SimSun" w:hAnsi="SimSun" w:cs="SimSun"/>
        </w:rPr>
        <w:t>人，副高级以上专业技术职称教师</w:t>
      </w:r>
      <w:r>
        <w:rPr>
          <w:rFonts w:ascii="Times New Roman" w:eastAsia="Times New Roman" w:hAnsi="Times New Roman" w:cs="Times New Roman"/>
        </w:rPr>
        <w:t>156</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学校不断完善人才培养模式，学校现有</w:t>
      </w:r>
      <w:r>
        <w:rPr>
          <w:rFonts w:ascii="Times New Roman" w:eastAsia="Times New Roman" w:hAnsi="Times New Roman" w:cs="Times New Roman"/>
        </w:rPr>
        <w:t>7</w:t>
      </w:r>
      <w:r>
        <w:rPr>
          <w:rFonts w:ascii="SimSun" w:eastAsia="SimSun" w:hAnsi="SimSun" w:cs="SimSun"/>
        </w:rPr>
        <w:t>个专业大类</w:t>
      </w:r>
      <w:r>
        <w:rPr>
          <w:rFonts w:ascii="Times New Roman" w:eastAsia="Times New Roman" w:hAnsi="Times New Roman" w:cs="Times New Roman"/>
        </w:rPr>
        <w:t>40</w:t>
      </w:r>
      <w:r>
        <w:rPr>
          <w:rFonts w:ascii="SimSun" w:eastAsia="SimSun" w:hAnsi="SimSun" w:cs="SimSun"/>
        </w:rPr>
        <w:t>个专业，形成了具有鲜明现代服务业特色的专业体系。学校建设了一批国内领先的实训基地，形成承载多专业、多岗位、全业务流程的综合实训平台，学生不出校门就能得到全方位的就业创业体验。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先后与澳大利亚、英国、美国、丹麦、韩国、乌克兰、加拿大等十多个国家的院校建立了友好合作关系，定期互派师生开展研修交流、教育合作、境外实习实训等活动。学校是全国第五届黄炎培职业教育奖优秀学校</w:t>
      </w:r>
      <w:r>
        <w:rPr>
          <w:rFonts w:ascii="Times New Roman" w:eastAsia="Times New Roman" w:hAnsi="Times New Roman" w:cs="Times New Roman"/>
        </w:rPr>
        <w:t>,</w:t>
      </w:r>
      <w:r>
        <w:rPr>
          <w:rFonts w:ascii="SimSun" w:eastAsia="SimSun" w:hAnsi="SimSun" w:cs="SimSun"/>
        </w:rPr>
        <w:t>中国职业技术教育学会国际商务教育研究会主任委员校、全国外经贸行指委副主任委员校、全国报关行指委副主任委员校、教育部职业院校外语教指委商务英语分委会主任委员校、天津商务行指委主任委员校，海河教育园区电子商务行业产教对接联盟委员会主席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我校教师在全国高职院校教师教学竞赛排行榜中排名</w:t>
      </w:r>
      <w:r>
        <w:rPr>
          <w:rFonts w:ascii="Times New Roman" w:eastAsia="Times New Roman" w:hAnsi="Times New Roman" w:cs="Times New Roman"/>
        </w:rPr>
        <w:t>59</w:t>
      </w:r>
      <w:r>
        <w:rPr>
          <w:rFonts w:ascii="SimSun" w:eastAsia="SimSun" w:hAnsi="SimSun" w:cs="SimSun"/>
        </w:rPr>
        <w:t>位，在全市排名第</w:t>
      </w:r>
      <w:r>
        <w:rPr>
          <w:rFonts w:ascii="Times New Roman" w:eastAsia="Times New Roman" w:hAnsi="Times New Roman" w:cs="Times New Roman"/>
        </w:rPr>
        <w:t>6</w:t>
      </w:r>
      <w:r>
        <w:rPr>
          <w:rFonts w:ascii="SimSun" w:eastAsia="SimSun" w:hAnsi="SimSun" w:cs="SimSun"/>
        </w:rPr>
        <w:t>位。我校学生在全国职业院校技能大赛获奖排行榜中排名第</w:t>
      </w:r>
      <w:r>
        <w:rPr>
          <w:rFonts w:ascii="Times New Roman" w:eastAsia="Times New Roman" w:hAnsi="Times New Roman" w:cs="Times New Roman"/>
        </w:rPr>
        <w:t>98</w:t>
      </w:r>
      <w:r>
        <w:rPr>
          <w:rFonts w:ascii="SimSun" w:eastAsia="SimSun" w:hAnsi="SimSun" w:cs="SimSun"/>
        </w:rPr>
        <w:t>位，在全市排名第</w:t>
      </w:r>
      <w:r>
        <w:rPr>
          <w:rFonts w:ascii="Times New Roman" w:eastAsia="Times New Roman" w:hAnsi="Times New Roman" w:cs="Times New Roman"/>
        </w:rPr>
        <w:t>3</w:t>
      </w:r>
      <w:r>
        <w:rPr>
          <w:rFonts w:ascii="SimSun" w:eastAsia="SimSun" w:hAnsi="SimSun" w:cs="SimSun"/>
        </w:rPr>
        <w:t>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学校是天津市服务外包人才培训基地、天津市</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建设境外安全保障基地、滨海新区紧缺型技能人才培养基地、海河教育园区大学生创新创业商务服务基地。学校以习近平新时代中国特色社会主义思想为指引，以办好人民满意的教育为宗旨，以立德树人为根本，不断深化产教融合和校企合作，努力让每个学生都有人生出彩的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第四条：学校设有招生委员会，全面负责学校招生工作，制定招生政策、招生计划，决定有关招生的重大事宜。下设招生办公室，是组织和实施招生工作的常设机构，负责招生的日常工作。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第五条：学校设纪检监察室，学校招生录取工作执行教育部的各项规定，自觉接受各省、自治区、直辖市招生委员会、纪检监察部门、考生和社会各界的监督。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第六条：学校</w:t>
      </w:r>
      <w:r>
        <w:rPr>
          <w:rFonts w:ascii="Times New Roman" w:eastAsia="Times New Roman" w:hAnsi="Times New Roman" w:cs="Times New Roman"/>
        </w:rPr>
        <w:t>2020</w:t>
      </w:r>
      <w:r>
        <w:rPr>
          <w:rFonts w:ascii="SimSun" w:eastAsia="SimSun" w:hAnsi="SimSun" w:cs="SimSun"/>
        </w:rPr>
        <w:t>年面向全国</w:t>
      </w:r>
      <w:r>
        <w:rPr>
          <w:rFonts w:ascii="Times New Roman" w:eastAsia="Times New Roman" w:hAnsi="Times New Roman" w:cs="Times New Roman"/>
        </w:rPr>
        <w:t>26</w:t>
      </w:r>
      <w:r>
        <w:rPr>
          <w:rFonts w:ascii="SimSun" w:eastAsia="SimSun" w:hAnsi="SimSun" w:cs="SimSun"/>
        </w:rPr>
        <w:t>个省市、自治区、直辖市招生，并按照教育部核准下达的具体招生专业、招生人数，在规定时间内寄送到各省、自治区、直辖市招生委员会，向社会公布；同时学校也通过不同渠道向社会公布。在招生录取过程中，经学校招生工作委员会同意，并报上级主管部门批准，对生源好、志愿足、录取分数高的省、自治区、直辖市的招生计划作适当调整。分省招生计划详见考生所在省、自治区、直辖市</w:t>
      </w:r>
      <w:r>
        <w:rPr>
          <w:rFonts w:ascii="Times New Roman" w:eastAsia="Times New Roman" w:hAnsi="Times New Roman" w:cs="Times New Roman"/>
        </w:rPr>
        <w:t>2020</w:t>
      </w:r>
      <w:r>
        <w:rPr>
          <w:rFonts w:ascii="SimSun" w:eastAsia="SimSun" w:hAnsi="SimSun" w:cs="SimSun"/>
        </w:rPr>
        <w:t>年高考报考指南。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第七条：收费标准。学费：一般专业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年。各专业收费标准详见省、自治区、直辖市招生办公室公布招生计划表或学校下发的</w:t>
      </w:r>
      <w:r>
        <w:rPr>
          <w:rFonts w:ascii="Times New Roman" w:eastAsia="Times New Roman" w:hAnsi="Times New Roman" w:cs="Times New Roman"/>
        </w:rPr>
        <w:t>2020</w:t>
      </w:r>
      <w:r>
        <w:rPr>
          <w:rFonts w:ascii="SimSun" w:eastAsia="SimSun" w:hAnsi="SimSun" w:cs="SimSun"/>
        </w:rPr>
        <w:t>年新生报到须知。如以上学费标准进行调整，按照最终物价部门批准的文件执行。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志愿实行顺序志愿的省（区、市），录取以志愿优先为原则，即按考生填报的院校志愿顺序，从高分到低分录取第一志愿报考我校的考生，只有当各省、自治区、直辖市公布的同批次最低控制线上第一志愿报考我校的人数少于招生计划时，才录取第二志愿报考我校的考生，依此类推。实行平行志愿的省份，录取以所在地省级招生主管部门规定的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原则，如有变化按照内蒙古招生主管部门规定执行。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实行高考综合改革试点的浙江、天津、山东、海南等省（区、市）的招生录取工作，按照各省公布的改革方案及有关办法执行。浙江、海南、山东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出现同分考生，则优先录取专业课成绩较高者，如专业课成绩仍相同，则依次比较文化课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第十二条：对政策加分考生的录取，按照教育部规定的实行属地化管理的原则，执行考生所在省、自治区、直辖市招生委员会制定的加分政策和录取规定。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投档成绩相同时，优先录取获得省级优秀学生、优秀学生干部、三好学生等荣誉称号以及英语、语文单科分数较高的考生（天津考生参考第十四条。其他省、区、市份如果明确同分排序录取规则，按各省、区、市录取规则进行录取）。江苏省规定考生如投档分数相同，优先录取学业水平测试选测科目等级排序较高者。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依照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第十七条：学校公共外语为英语。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第十八条：学校在接到各省、自治区、直辖市招办核准备案的录取考生名单后以特快专递的方式寄发录取通知书。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按国家招生规定录取的新生，持录取通知书按学校规定的期限到学校办理入学手续。应征入伍的新生按国家政策，在学校规定时间内办理保留入学资格。因故不能按期入学者，应当向学校请假。未请假或者请假逾期者，除因不可抗力等正当事由以外，视为放弃入学资格。具体报到要求见</w:t>
      </w:r>
      <w:r>
        <w:rPr>
          <w:rFonts w:ascii="Times New Roman" w:eastAsia="Times New Roman" w:hAnsi="Times New Roman" w:cs="Times New Roman"/>
        </w:rPr>
        <w:t>2020</w:t>
      </w:r>
      <w:r>
        <w:rPr>
          <w:rFonts w:ascii="SimSun" w:eastAsia="SimSun" w:hAnsi="SimSun" w:cs="SimSun"/>
        </w:rPr>
        <w:t>年天津商务职业学院《新生报到须知》。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学校依据《天津商务职业学院学生手册》、《天津商务职业学院学籍管理规定》等规章制度对学生进行管理；按专业人才培养方案对学生进行培养。入学后，转专业的学生须按学校相关管理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第二十二条：学校设有各级各类奖、助学金，执行国家助学贷款，并为贫困生设置多种形式的勤工助学岗位。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第二十三条：学生完成规定学业经审查达到毕业标准的，颁发天津商务职业学院全日制普通高等学校专科毕业证书。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第二十四条：本章程仅适用于</w:t>
      </w:r>
      <w:r>
        <w:rPr>
          <w:rFonts w:ascii="Times New Roman" w:eastAsia="Times New Roman" w:hAnsi="Times New Roman" w:cs="Times New Roman"/>
        </w:rPr>
        <w:t>2020</w:t>
      </w:r>
      <w:r>
        <w:rPr>
          <w:rFonts w:ascii="SimSun" w:eastAsia="SimSun" w:hAnsi="SimSun" w:cs="SimSun"/>
        </w:rPr>
        <w:t>年天津商务职业学院高职招生工作。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第二十五条：本章程经天津商务职业学院招生工作委员会审查通过，报上级主管部门审核。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第二十六条：本章程自公布起开始执行。凡以前天津商务职业学院有关高职招生工作的政策、规定与本章程不一致的，一律废止，均以本章程规定为准。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第二十七条：本章程由天津商务职业学院招生办公室负责解释。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59655460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59655318</w:t>
      </w:r>
      <w:r>
        <w:rPr>
          <w:rFonts w:ascii="SimSun" w:eastAsia="SimSun" w:hAnsi="SimSun" w:cs="SimSun"/>
        </w:rPr>
        <w:t>（纪委办公室）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咨询地点：天津海河教育园区雅观路</w:t>
      </w:r>
      <w:r>
        <w:rPr>
          <w:rFonts w:ascii="Times New Roman" w:eastAsia="Times New Roman" w:hAnsi="Times New Roman" w:cs="Times New Roman"/>
        </w:rPr>
        <w:t>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Q Q </w:t>
      </w:r>
      <w:r>
        <w:rPr>
          <w:rFonts w:ascii="SimSun" w:eastAsia="SimSun" w:hAnsi="SimSun" w:cs="SimSun"/>
        </w:rPr>
        <w:t>群号：</w:t>
      </w:r>
      <w:r>
        <w:rPr>
          <w:rFonts w:ascii="Times New Roman" w:eastAsia="Times New Roman" w:hAnsi="Times New Roman" w:cs="Times New Roman"/>
        </w:rPr>
        <w:t xml:space="preserve">295142103               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www.tcc1955.edu.cn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tifert_zhaosheng@126.com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乘车路线：滨海国际机场、天津站、天津西站、天津南站均可乘坐地铁至复兴门站，然后转乘</w:t>
      </w:r>
      <w:r>
        <w:rPr>
          <w:rFonts w:ascii="Times New Roman" w:eastAsia="Times New Roman" w:hAnsi="Times New Roman" w:cs="Times New Roman"/>
        </w:rPr>
        <w:t>220</w:t>
      </w:r>
      <w:r>
        <w:rPr>
          <w:rFonts w:ascii="SimSun" w:eastAsia="SimSun" w:hAnsi="SimSun" w:cs="SimSun"/>
        </w:rPr>
        <w:t>路公交车，到商务学院站下车即到</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03.html" TargetMode="External" /><Relationship Id="rId5" Type="http://schemas.openxmlformats.org/officeDocument/2006/relationships/hyperlink" Target="http://www.gk114.com/a/gxzs/zszc/tianjin/2020/0621/1690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