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解释型语言和编译型语言"/>
    <w:p>
      <w:pPr>
        <w:pStyle w:val="Heading5"/>
      </w:pPr>
      <w:r>
        <w:t xml:space="preserve">解释型语言和编译型语言</w:t>
      </w:r>
    </w:p>
    <w:bookmarkEnd w:id="20"/>
    <w:bookmarkStart w:id="21" w:name="面向对象"/>
    <w:p>
      <w:pPr>
        <w:pStyle w:val="Heading5"/>
      </w:pPr>
      <w:r>
        <w:t xml:space="preserve">面向对象</w:t>
      </w:r>
    </w:p>
    <w:bookmarkEnd w:id="21"/>
    <w:bookmarkStart w:id="22" w:name="文件下载地址规范"/>
    <w:p>
      <w:pPr>
        <w:pStyle w:val="Heading5"/>
      </w:pPr>
      <w:r>
        <w:t xml:space="preserve">文件下载地址规范</w:t>
      </w:r>
    </w:p>
    <w:bookmarkEnd w:id="22"/>
    <w:bookmarkStart w:id="23" w:name="进制补码"/>
    <w:p>
      <w:pPr>
        <w:pStyle w:val="Heading5"/>
      </w:pPr>
      <w:r>
        <w:t xml:space="preserve">进制，补码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2024-03-05T12:29:38Z</dcterms:created>
  <dcterms:modified xsi:type="dcterms:W3CDTF">2024-03-05T12:29:38Z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