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72758"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CO-AMORPHOUS SYSTEMS KNOWLEDGE BASE (CAMS)</w:t>
      </w:r>
    </w:p>
    <w:p w14:paraId="488D3DB9" w14:textId="77777777" w:rsidR="00DF301C" w:rsidRPr="00DF301C" w:rsidRDefault="00DF301C" w:rsidP="00DF301C">
      <w:pPr>
        <w:spacing w:line="360" w:lineRule="auto"/>
        <w:rPr>
          <w:rFonts w:ascii="Times New Roman" w:hAnsi="Times New Roman" w:cs="Times New Roman"/>
          <w:sz w:val="24"/>
        </w:rPr>
      </w:pPr>
    </w:p>
    <w:p w14:paraId="6D85CB7B"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1. DEFINITIONS AND SCOPE</w:t>
      </w:r>
    </w:p>
    <w:p w14:paraId="40DC0F64" w14:textId="77777777" w:rsidR="00DF301C" w:rsidRPr="00DF301C" w:rsidRDefault="00DF301C" w:rsidP="00DF301C">
      <w:pPr>
        <w:spacing w:line="360" w:lineRule="auto"/>
        <w:rPr>
          <w:rFonts w:ascii="Times New Roman" w:hAnsi="Times New Roman" w:cs="Times New Roman"/>
          <w:sz w:val="24"/>
        </w:rPr>
      </w:pPr>
    </w:p>
    <w:p w14:paraId="554743C5"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1.1 Core definition</w:t>
      </w:r>
    </w:p>
    <w:p w14:paraId="29FFD19B"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Co-amorphous systems (CAMs) are solid materials composed of two or more low–molecular-weight components that form a single, homogeneous amorphous phase. A defining feature is molecular-level mixing in one amorphous phase rather than a simple blend of separate amorphous domains.</w:t>
      </w:r>
    </w:p>
    <w:p w14:paraId="5618F682" w14:textId="77777777" w:rsidR="00DF301C" w:rsidRPr="00DF301C" w:rsidRDefault="00DF301C" w:rsidP="00DF301C">
      <w:pPr>
        <w:spacing w:line="360" w:lineRule="auto"/>
        <w:rPr>
          <w:rFonts w:ascii="Times New Roman" w:hAnsi="Times New Roman" w:cs="Times New Roman"/>
          <w:sz w:val="24"/>
        </w:rPr>
      </w:pPr>
    </w:p>
    <w:p w14:paraId="16B5B2D8"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1.2 CAMs versus amorphous solid dispersions (ASDs)</w:t>
      </w:r>
    </w:p>
    <w:p w14:paraId="539AC53C"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ASDs are usually drug plus polymer systems, where polymers reduce molecular mobility and inhibit nucleation and crystal growth. CAMs are typically </w:t>
      </w:r>
      <w:proofErr w:type="gramStart"/>
      <w:r w:rsidRPr="00DF301C">
        <w:rPr>
          <w:rFonts w:ascii="Times New Roman" w:hAnsi="Times New Roman" w:cs="Times New Roman"/>
          <w:sz w:val="24"/>
        </w:rPr>
        <w:t>drug</w:t>
      </w:r>
      <w:proofErr w:type="gramEnd"/>
      <w:r w:rsidRPr="00DF301C">
        <w:rPr>
          <w:rFonts w:ascii="Times New Roman" w:hAnsi="Times New Roman" w:cs="Times New Roman"/>
          <w:sz w:val="24"/>
        </w:rPr>
        <w:t xml:space="preserve"> plus small-molecule co-former (or drug–drug) systems without polymer carriers; stability is commonly achieved via specific intermolecular interactions and or elevated glass transition temperature (</w:t>
      </w:r>
      <w:proofErr w:type="spellStart"/>
      <w:r w:rsidRPr="00DF301C">
        <w:rPr>
          <w:rFonts w:ascii="Times New Roman" w:hAnsi="Times New Roman" w:cs="Times New Roman"/>
          <w:sz w:val="24"/>
        </w:rPr>
        <w:t>Tg</w:t>
      </w:r>
      <w:proofErr w:type="spellEnd"/>
      <w:r w:rsidRPr="00DF301C">
        <w:rPr>
          <w:rFonts w:ascii="Times New Roman" w:hAnsi="Times New Roman" w:cs="Times New Roman"/>
          <w:sz w:val="24"/>
        </w:rPr>
        <w:t>).</w:t>
      </w:r>
    </w:p>
    <w:p w14:paraId="738D748C" w14:textId="77777777" w:rsidR="00DF301C" w:rsidRPr="00DF301C" w:rsidRDefault="00DF301C" w:rsidP="00DF301C">
      <w:pPr>
        <w:spacing w:line="360" w:lineRule="auto"/>
        <w:rPr>
          <w:rFonts w:ascii="Times New Roman" w:hAnsi="Times New Roman" w:cs="Times New Roman"/>
          <w:sz w:val="24"/>
        </w:rPr>
      </w:pPr>
    </w:p>
    <w:p w14:paraId="14BD1254"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1.3 Common CAM categories</w:t>
      </w:r>
    </w:p>
    <w:p w14:paraId="3474D08C" w14:textId="77777777" w:rsidR="00DF301C" w:rsidRPr="00DF301C" w:rsidRDefault="00DF301C" w:rsidP="00DF301C">
      <w:pPr>
        <w:spacing w:line="360" w:lineRule="auto"/>
        <w:rPr>
          <w:rFonts w:ascii="Times New Roman" w:hAnsi="Times New Roman" w:cs="Times New Roman"/>
          <w:sz w:val="24"/>
        </w:rPr>
      </w:pPr>
    </w:p>
    <w:p w14:paraId="00714EE6"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1. Drug–drug CAMs for fixed-dose combination concepts and synchronized dissolution behavior.</w:t>
      </w:r>
    </w:p>
    <w:p w14:paraId="15EC7E56"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2. Drug–small-molecule CAMs using amino acids, organic acids, bases, vitamins, sweeteners, and related small co-formers to stabilize amorphous phases and tune dissolution.</w:t>
      </w:r>
    </w:p>
    <w:p w14:paraId="2CB7663D"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3. Natural-active CAMs (food-derived or botanical actives), where polyphenols, flavonoids, phenolic acids, and alkaloids are paired with compatible co-formers to improve functional accessibility (solubility, dispersion, and potentially bioactivity expression). This direction is increasingly discussed within broader CAM reviews and solid-form design frameworks.</w:t>
      </w:r>
    </w:p>
    <w:p w14:paraId="12D9EB99" w14:textId="77777777" w:rsidR="00DF301C" w:rsidRPr="00DF301C" w:rsidRDefault="00DF301C" w:rsidP="00DF301C">
      <w:pPr>
        <w:spacing w:line="360" w:lineRule="auto"/>
        <w:rPr>
          <w:rFonts w:ascii="Times New Roman" w:hAnsi="Times New Roman" w:cs="Times New Roman"/>
          <w:sz w:val="24"/>
        </w:rPr>
      </w:pPr>
    </w:p>
    <w:p w14:paraId="4D2FF59B"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lastRenderedPageBreak/>
        <w:t>2) PREPARATION TECHNOLOGIES</w:t>
      </w:r>
    </w:p>
    <w:p w14:paraId="43EE1329" w14:textId="77777777" w:rsidR="00DF301C" w:rsidRPr="00DF301C" w:rsidRDefault="00DF301C" w:rsidP="00DF301C">
      <w:pPr>
        <w:spacing w:line="360" w:lineRule="auto"/>
        <w:rPr>
          <w:rFonts w:ascii="Times New Roman" w:hAnsi="Times New Roman" w:cs="Times New Roman"/>
          <w:sz w:val="24"/>
        </w:rPr>
      </w:pPr>
    </w:p>
    <w:p w14:paraId="1F61F7F2"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CAM preparation aims to disrupt crystallinity and promote intimate molecular mixing, while avoiding phase separation and residual plasticizers.</w:t>
      </w:r>
    </w:p>
    <w:p w14:paraId="0C71AF8C" w14:textId="77777777" w:rsidR="00DF301C" w:rsidRPr="00DF301C" w:rsidRDefault="00DF301C" w:rsidP="00DF301C">
      <w:pPr>
        <w:spacing w:line="360" w:lineRule="auto"/>
        <w:rPr>
          <w:rFonts w:ascii="Times New Roman" w:hAnsi="Times New Roman" w:cs="Times New Roman"/>
          <w:sz w:val="24"/>
        </w:rPr>
      </w:pPr>
    </w:p>
    <w:p w14:paraId="00683CEB"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2.1 Mechanical activation (milling and grinding)</w:t>
      </w:r>
    </w:p>
    <w:p w14:paraId="39F5B98C"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Principle: mechanical energy disrupts crystal lattices and drives solid-state mixing toward an amorphous single phase.</w:t>
      </w:r>
    </w:p>
    <w:p w14:paraId="22DBEFDA"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Typical methods: vibrational milling and planetary ball milling.</w:t>
      </w:r>
    </w:p>
    <w:p w14:paraId="6A8D44B3"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Key control variables: milling time, frequency or speed, ball-to-powder ratio, filling degree, jar material, atmosphere, and humidity.</w:t>
      </w:r>
    </w:p>
    <w:p w14:paraId="4891844F"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Advantages: solvent-free and compatible with heat-sensitive compounds; useful for rapid screening.</w:t>
      </w:r>
    </w:p>
    <w:p w14:paraId="118D9927"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Common risks: local heating, degradation, and batch variability if energy input and humidity are not controlled.</w:t>
      </w:r>
    </w:p>
    <w:p w14:paraId="00392777" w14:textId="77777777" w:rsidR="00DF301C" w:rsidRPr="00DF301C" w:rsidRDefault="00DF301C" w:rsidP="00DF301C">
      <w:pPr>
        <w:spacing w:line="360" w:lineRule="auto"/>
        <w:rPr>
          <w:rFonts w:ascii="Times New Roman" w:hAnsi="Times New Roman" w:cs="Times New Roman"/>
          <w:sz w:val="24"/>
        </w:rPr>
      </w:pPr>
    </w:p>
    <w:p w14:paraId="2BABBFD9"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2.2 Solvent-based routes</w:t>
      </w:r>
    </w:p>
    <w:p w14:paraId="76EBA379" w14:textId="77777777" w:rsidR="00DF301C" w:rsidRPr="00DF301C" w:rsidRDefault="00DF301C" w:rsidP="00DF301C">
      <w:pPr>
        <w:spacing w:line="360" w:lineRule="auto"/>
        <w:rPr>
          <w:rFonts w:ascii="Times New Roman" w:hAnsi="Times New Roman" w:cs="Times New Roman"/>
          <w:sz w:val="24"/>
        </w:rPr>
      </w:pPr>
    </w:p>
    <w:p w14:paraId="48EB57A9"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2.2.1 Solvent evaporation and film casting</w:t>
      </w:r>
    </w:p>
    <w:p w14:paraId="078ECE3B"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Principle: co-dissolve components in a common solvent or co-solvent system, then remove solvent to lock in a mixed amorphous phase.</w:t>
      </w:r>
    </w:p>
    <w:p w14:paraId="0C8A6D20"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Key solvent criteria: adequate solubility for all components, volatility and removability, and appropriate polarity and hydrogen-bonding characteristics that do not promote phase separation.</w:t>
      </w:r>
    </w:p>
    <w:p w14:paraId="3589273D"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Main pitfall: residual solvent or water acts as a plasticizer that lowers </w:t>
      </w:r>
      <w:proofErr w:type="spellStart"/>
      <w:r w:rsidRPr="00DF301C">
        <w:rPr>
          <w:rFonts w:ascii="Times New Roman" w:hAnsi="Times New Roman" w:cs="Times New Roman"/>
          <w:sz w:val="24"/>
        </w:rPr>
        <w:t>Tg</w:t>
      </w:r>
      <w:proofErr w:type="spellEnd"/>
      <w:r w:rsidRPr="00DF301C">
        <w:rPr>
          <w:rFonts w:ascii="Times New Roman" w:hAnsi="Times New Roman" w:cs="Times New Roman"/>
          <w:sz w:val="24"/>
        </w:rPr>
        <w:t xml:space="preserve"> and accelerates recrystallization.</w:t>
      </w:r>
    </w:p>
    <w:p w14:paraId="69B314FE" w14:textId="77777777" w:rsidR="00DF301C" w:rsidRPr="00DF301C" w:rsidRDefault="00DF301C" w:rsidP="00DF301C">
      <w:pPr>
        <w:spacing w:line="360" w:lineRule="auto"/>
        <w:rPr>
          <w:rFonts w:ascii="Times New Roman" w:hAnsi="Times New Roman" w:cs="Times New Roman"/>
          <w:sz w:val="24"/>
        </w:rPr>
      </w:pPr>
    </w:p>
    <w:p w14:paraId="16393934"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2.2.2 Spray drying</w:t>
      </w:r>
    </w:p>
    <w:p w14:paraId="2C544D11"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Principle: generate droplets from a homogeneous solution and remove solvent rapidly to produce amorphous particles.</w:t>
      </w:r>
    </w:p>
    <w:p w14:paraId="391D6276"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lastRenderedPageBreak/>
        <w:t>Strengths: scalability and continuous manufacturing compatibility; direct downstream processing into powders and solid dosage forms.</w:t>
      </w:r>
    </w:p>
    <w:p w14:paraId="3757282D"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Critical parameters: outlet temperature, residual solvent content, feed solids, atomization conditions, and airflow. These often govern physical stability more strongly than inlet temperature alone.</w:t>
      </w:r>
    </w:p>
    <w:p w14:paraId="25AD21FD" w14:textId="77777777" w:rsidR="00DF301C" w:rsidRPr="00DF301C" w:rsidRDefault="00DF301C" w:rsidP="00DF301C">
      <w:pPr>
        <w:spacing w:line="360" w:lineRule="auto"/>
        <w:rPr>
          <w:rFonts w:ascii="Times New Roman" w:hAnsi="Times New Roman" w:cs="Times New Roman"/>
          <w:sz w:val="24"/>
        </w:rPr>
      </w:pPr>
    </w:p>
    <w:p w14:paraId="7DFDA001"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2.3 Melt-based routes (melt quenching and hot-melt processing)</w:t>
      </w:r>
    </w:p>
    <w:p w14:paraId="05F02FF1"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Principle: form a homogeneous melt or near-melt mixture and quench rapidly to prevent ordering.</w:t>
      </w:r>
    </w:p>
    <w:p w14:paraId="6A6BE17A"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Strengths: solvent-free and potentially continuous.</w:t>
      </w:r>
    </w:p>
    <w:p w14:paraId="47B5F69D"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Constraints: thermal stability, compatible melting and viscosity behavior, and sufficient miscibility in the molten state.</w:t>
      </w:r>
    </w:p>
    <w:p w14:paraId="2AC2B117" w14:textId="77777777" w:rsidR="00DF301C" w:rsidRPr="00DF301C" w:rsidRDefault="00DF301C" w:rsidP="00DF301C">
      <w:pPr>
        <w:spacing w:line="360" w:lineRule="auto"/>
        <w:rPr>
          <w:rFonts w:ascii="Times New Roman" w:hAnsi="Times New Roman" w:cs="Times New Roman"/>
          <w:sz w:val="24"/>
        </w:rPr>
      </w:pPr>
    </w:p>
    <w:p w14:paraId="0A1080D9"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2.4 Freeze-drying (lyophilization)</w:t>
      </w:r>
    </w:p>
    <w:p w14:paraId="362BAEDE"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Principle: prepare a solution or dispersion, freeze, then sublimate solvent under vacuum to yield a porous amorphous solid.</w:t>
      </w:r>
    </w:p>
    <w:p w14:paraId="44E050AB"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Use cases: water-compatible systems or those solvated by mild co-solvents.</w:t>
      </w:r>
    </w:p>
    <w:p w14:paraId="6C8377AD"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Risk: residual water strongly plasticizes amorphous phases; moisture management is essential.</w:t>
      </w:r>
    </w:p>
    <w:p w14:paraId="0A931399" w14:textId="77777777" w:rsidR="00DF301C" w:rsidRPr="00DF301C" w:rsidRDefault="00DF301C" w:rsidP="00DF301C">
      <w:pPr>
        <w:spacing w:line="360" w:lineRule="auto"/>
        <w:rPr>
          <w:rFonts w:ascii="Times New Roman" w:hAnsi="Times New Roman" w:cs="Times New Roman"/>
          <w:sz w:val="24"/>
        </w:rPr>
      </w:pPr>
    </w:p>
    <w:p w14:paraId="47638FDA"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2.5 Emerging and hybrid approaches</w:t>
      </w:r>
    </w:p>
    <w:p w14:paraId="51926BAC"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Examples include spray-freeze drying, supercritical-fluid assisted solidification, and fluid-bed routes. These can address specialized constraints but typically require formulation-specific feasibility evaluation.</w:t>
      </w:r>
    </w:p>
    <w:p w14:paraId="79397847" w14:textId="77777777" w:rsidR="00DF301C" w:rsidRPr="00DF301C" w:rsidRDefault="00DF301C" w:rsidP="00DF301C">
      <w:pPr>
        <w:spacing w:line="360" w:lineRule="auto"/>
        <w:rPr>
          <w:rFonts w:ascii="Times New Roman" w:hAnsi="Times New Roman" w:cs="Times New Roman"/>
          <w:sz w:val="24"/>
        </w:rPr>
      </w:pPr>
    </w:p>
    <w:p w14:paraId="2CC830FB"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2.6 Model-guided and data-driven screening</w:t>
      </w:r>
    </w:p>
    <w:p w14:paraId="170BEA53"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Beyond heuristic selection, CAM development is increasingly supported by quantitative screening and informatics approaches that integrate component properties, molar ratio effects, preparation method metadata, and stability and dissolution outcomes. Quantitative literature syntheses emphasize co-formability, physical </w:t>
      </w:r>
      <w:r w:rsidRPr="00DF301C">
        <w:rPr>
          <w:rFonts w:ascii="Times New Roman" w:hAnsi="Times New Roman" w:cs="Times New Roman"/>
          <w:sz w:val="24"/>
        </w:rPr>
        <w:lastRenderedPageBreak/>
        <w:t>stability, and dissolution performance as core attributes to model and optimize.</w:t>
      </w:r>
    </w:p>
    <w:p w14:paraId="3F291D29" w14:textId="77777777" w:rsidR="00DF301C" w:rsidRPr="00DF301C" w:rsidRDefault="00DF301C" w:rsidP="00DF301C">
      <w:pPr>
        <w:spacing w:line="360" w:lineRule="auto"/>
        <w:rPr>
          <w:rFonts w:ascii="Times New Roman" w:hAnsi="Times New Roman" w:cs="Times New Roman"/>
          <w:sz w:val="24"/>
        </w:rPr>
      </w:pPr>
    </w:p>
    <w:p w14:paraId="275091C7"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3. KEY ADVANTAGES AND PERFORMANCE LOGIC</w:t>
      </w:r>
    </w:p>
    <w:p w14:paraId="58F537A3" w14:textId="77777777" w:rsidR="00DF301C" w:rsidRPr="00DF301C" w:rsidRDefault="00DF301C" w:rsidP="00DF301C">
      <w:pPr>
        <w:spacing w:line="360" w:lineRule="auto"/>
        <w:rPr>
          <w:rFonts w:ascii="Times New Roman" w:hAnsi="Times New Roman" w:cs="Times New Roman"/>
          <w:sz w:val="24"/>
        </w:rPr>
      </w:pPr>
    </w:p>
    <w:p w14:paraId="526458D5"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3.1 Solubility and dissolution enhancement</w:t>
      </w:r>
    </w:p>
    <w:p w14:paraId="6EB0BD71"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The amorphous state has higher free energy than crystalline forms, enabling higher apparent solubility and faster dissolution. CAMs leverage this while often improving stability relative to neat amorphous drugs.</w:t>
      </w:r>
    </w:p>
    <w:p w14:paraId="0D607EA2" w14:textId="77777777" w:rsidR="00DF301C" w:rsidRPr="00DF301C" w:rsidRDefault="00DF301C" w:rsidP="00DF301C">
      <w:pPr>
        <w:spacing w:line="360" w:lineRule="auto"/>
        <w:rPr>
          <w:rFonts w:ascii="Times New Roman" w:hAnsi="Times New Roman" w:cs="Times New Roman"/>
          <w:sz w:val="24"/>
        </w:rPr>
      </w:pPr>
    </w:p>
    <w:p w14:paraId="49E6B397"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3.2 Stability improvements relative to neat amorphous drugs</w:t>
      </w:r>
    </w:p>
    <w:p w14:paraId="32847E2D"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Many CAMs exhibit increased </w:t>
      </w:r>
      <w:proofErr w:type="spellStart"/>
      <w:r w:rsidRPr="00DF301C">
        <w:rPr>
          <w:rFonts w:ascii="Times New Roman" w:hAnsi="Times New Roman" w:cs="Times New Roman"/>
          <w:sz w:val="24"/>
        </w:rPr>
        <w:t>Tg</w:t>
      </w:r>
      <w:proofErr w:type="spellEnd"/>
      <w:r w:rsidRPr="00DF301C">
        <w:rPr>
          <w:rFonts w:ascii="Times New Roman" w:hAnsi="Times New Roman" w:cs="Times New Roman"/>
          <w:sz w:val="24"/>
        </w:rPr>
        <w:t xml:space="preserve"> and reduced molecular mobility, and specific interactions can suppress nucleation and crystal growth. Reviews consistently report improved physical stability as a major differentiator of well-designed CAMs.</w:t>
      </w:r>
    </w:p>
    <w:p w14:paraId="1FE9416B" w14:textId="77777777" w:rsidR="00DF301C" w:rsidRPr="00DF301C" w:rsidRDefault="00DF301C" w:rsidP="00DF301C">
      <w:pPr>
        <w:spacing w:line="360" w:lineRule="auto"/>
        <w:rPr>
          <w:rFonts w:ascii="Times New Roman" w:hAnsi="Times New Roman" w:cs="Times New Roman"/>
          <w:sz w:val="24"/>
        </w:rPr>
      </w:pPr>
    </w:p>
    <w:p w14:paraId="527F5AC5"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3.3 High active loading without polymer carriers</w:t>
      </w:r>
    </w:p>
    <w:p w14:paraId="7ACA1A8B"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Because CAMs do not require high polymer fractions, they can maintain high active content and smaller dosage volume while still improving dissolution and stability, depending on the system.</w:t>
      </w:r>
    </w:p>
    <w:p w14:paraId="366944AD" w14:textId="77777777" w:rsidR="00DF301C" w:rsidRPr="00DF301C" w:rsidRDefault="00DF301C" w:rsidP="00DF301C">
      <w:pPr>
        <w:spacing w:line="360" w:lineRule="auto"/>
        <w:rPr>
          <w:rFonts w:ascii="Times New Roman" w:hAnsi="Times New Roman" w:cs="Times New Roman"/>
          <w:sz w:val="24"/>
        </w:rPr>
      </w:pPr>
    </w:p>
    <w:p w14:paraId="7F7C7630"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3.4 </w:t>
      </w:r>
      <w:proofErr w:type="gramStart"/>
      <w:r w:rsidRPr="00DF301C">
        <w:rPr>
          <w:rFonts w:ascii="Times New Roman" w:hAnsi="Times New Roman" w:cs="Times New Roman"/>
          <w:sz w:val="24"/>
        </w:rPr>
        <w:t>Multi-component</w:t>
      </w:r>
      <w:proofErr w:type="gramEnd"/>
      <w:r w:rsidRPr="00DF301C">
        <w:rPr>
          <w:rFonts w:ascii="Times New Roman" w:hAnsi="Times New Roman" w:cs="Times New Roman"/>
          <w:sz w:val="24"/>
        </w:rPr>
        <w:t xml:space="preserve"> and functional synergy</w:t>
      </w:r>
    </w:p>
    <w:p w14:paraId="64CF0B5E"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Drug–drug CAMs may support fixed-dose combination strategies and coordinated dissolution. For food-derived or botanical actives, CAMs can serve as multifunctional materials platforms when paired with suitable, safe co-formers.</w:t>
      </w:r>
    </w:p>
    <w:p w14:paraId="75F3FFC5" w14:textId="77777777" w:rsidR="00DF301C" w:rsidRPr="00DF301C" w:rsidRDefault="00DF301C" w:rsidP="00DF301C">
      <w:pPr>
        <w:spacing w:line="360" w:lineRule="auto"/>
        <w:rPr>
          <w:rFonts w:ascii="Times New Roman" w:hAnsi="Times New Roman" w:cs="Times New Roman"/>
          <w:sz w:val="24"/>
        </w:rPr>
      </w:pPr>
    </w:p>
    <w:p w14:paraId="2CA8149D"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4. HOW TO CONFIRM A TRUE CO-AMORPHOUS SINGLE PHASE</w:t>
      </w:r>
    </w:p>
    <w:p w14:paraId="472BA22D" w14:textId="77777777" w:rsidR="00DF301C" w:rsidRPr="00DF301C" w:rsidRDefault="00DF301C" w:rsidP="00DF301C">
      <w:pPr>
        <w:spacing w:line="360" w:lineRule="auto"/>
        <w:rPr>
          <w:rFonts w:ascii="Times New Roman" w:hAnsi="Times New Roman" w:cs="Times New Roman"/>
          <w:sz w:val="24"/>
        </w:rPr>
      </w:pPr>
    </w:p>
    <w:p w14:paraId="6FF97BB3"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A robust conclusion typically requires multiple orthogonal lines of evidence.</w:t>
      </w:r>
    </w:p>
    <w:p w14:paraId="510B7CAF" w14:textId="77777777" w:rsidR="00DF301C" w:rsidRPr="00DF301C" w:rsidRDefault="00DF301C" w:rsidP="00DF301C">
      <w:pPr>
        <w:spacing w:line="360" w:lineRule="auto"/>
        <w:rPr>
          <w:rFonts w:ascii="Times New Roman" w:hAnsi="Times New Roman" w:cs="Times New Roman"/>
          <w:sz w:val="24"/>
        </w:rPr>
      </w:pPr>
    </w:p>
    <w:p w14:paraId="40BB2CC0"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4.1 Solid-state confirmation</w:t>
      </w:r>
    </w:p>
    <w:p w14:paraId="67B0A028" w14:textId="77777777" w:rsidR="00DF301C" w:rsidRPr="00DF301C" w:rsidRDefault="00DF301C" w:rsidP="00DF301C">
      <w:pPr>
        <w:spacing w:line="360" w:lineRule="auto"/>
        <w:rPr>
          <w:rFonts w:ascii="Times New Roman" w:hAnsi="Times New Roman" w:cs="Times New Roman"/>
          <w:sz w:val="24"/>
        </w:rPr>
      </w:pPr>
    </w:p>
    <w:p w14:paraId="7DFD19A3"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lastRenderedPageBreak/>
        <w:t>1. XRPD</w:t>
      </w:r>
    </w:p>
    <w:p w14:paraId="71CD6CC3"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   A broad halo with absence of sharp Bragg peaks indicates amorphous character; residual peaks imply crystallinity.</w:t>
      </w:r>
    </w:p>
    <w:p w14:paraId="70D25A11"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2. DSC or </w:t>
      </w:r>
      <w:proofErr w:type="spellStart"/>
      <w:r w:rsidRPr="00DF301C">
        <w:rPr>
          <w:rFonts w:ascii="Times New Roman" w:hAnsi="Times New Roman" w:cs="Times New Roman"/>
          <w:sz w:val="24"/>
        </w:rPr>
        <w:t>mDSC</w:t>
      </w:r>
      <w:proofErr w:type="spellEnd"/>
    </w:p>
    <w:p w14:paraId="50D6274D"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   A single </w:t>
      </w:r>
      <w:proofErr w:type="spellStart"/>
      <w:r w:rsidRPr="00DF301C">
        <w:rPr>
          <w:rFonts w:ascii="Times New Roman" w:hAnsi="Times New Roman" w:cs="Times New Roman"/>
          <w:sz w:val="24"/>
        </w:rPr>
        <w:t>Tg</w:t>
      </w:r>
      <w:proofErr w:type="spellEnd"/>
      <w:r w:rsidRPr="00DF301C">
        <w:rPr>
          <w:rFonts w:ascii="Times New Roman" w:hAnsi="Times New Roman" w:cs="Times New Roman"/>
          <w:sz w:val="24"/>
        </w:rPr>
        <w:t xml:space="preserve"> is a strong indicator of a homogeneous single amorphous phase; additional transitions may indicate phase separation or residual crystallinity.</w:t>
      </w:r>
    </w:p>
    <w:p w14:paraId="42AE88D1"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3. TGA and residual solvent or water analysis</w:t>
      </w:r>
    </w:p>
    <w:p w14:paraId="3CC39D95"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   Residual volatiles can depress </w:t>
      </w:r>
      <w:proofErr w:type="spellStart"/>
      <w:r w:rsidRPr="00DF301C">
        <w:rPr>
          <w:rFonts w:ascii="Times New Roman" w:hAnsi="Times New Roman" w:cs="Times New Roman"/>
          <w:sz w:val="24"/>
        </w:rPr>
        <w:t>Tg</w:t>
      </w:r>
      <w:proofErr w:type="spellEnd"/>
      <w:r w:rsidRPr="00DF301C">
        <w:rPr>
          <w:rFonts w:ascii="Times New Roman" w:hAnsi="Times New Roman" w:cs="Times New Roman"/>
          <w:sz w:val="24"/>
        </w:rPr>
        <w:t xml:space="preserve"> and bias stability comparisons; quantifying them strengthens interpretation.</w:t>
      </w:r>
    </w:p>
    <w:p w14:paraId="378126EF" w14:textId="77777777" w:rsidR="00DF301C" w:rsidRPr="00DF301C" w:rsidRDefault="00DF301C" w:rsidP="00DF301C">
      <w:pPr>
        <w:spacing w:line="360" w:lineRule="auto"/>
        <w:rPr>
          <w:rFonts w:ascii="Times New Roman" w:hAnsi="Times New Roman" w:cs="Times New Roman"/>
          <w:sz w:val="24"/>
        </w:rPr>
      </w:pPr>
    </w:p>
    <w:p w14:paraId="70BF7570"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4.2 Intermolecular interaction evidence</w:t>
      </w:r>
    </w:p>
    <w:p w14:paraId="7C0948FD" w14:textId="77777777" w:rsidR="00DF301C" w:rsidRPr="00DF301C" w:rsidRDefault="00DF301C" w:rsidP="00DF301C">
      <w:pPr>
        <w:spacing w:line="360" w:lineRule="auto"/>
        <w:rPr>
          <w:rFonts w:ascii="Times New Roman" w:hAnsi="Times New Roman" w:cs="Times New Roman"/>
          <w:sz w:val="24"/>
        </w:rPr>
      </w:pPr>
    </w:p>
    <w:p w14:paraId="0B420321"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1. FTIR and Raman</w:t>
      </w:r>
    </w:p>
    <w:p w14:paraId="7E7ECE25"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   Band shifts and broadening can indicate hydrogen bonding or ionic interactions.</w:t>
      </w:r>
    </w:p>
    <w:p w14:paraId="61B75461"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2. Solid-state NMR</w:t>
      </w:r>
    </w:p>
    <w:p w14:paraId="512CFFA7"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   Chemical shift changes and line-shape broadening support molecular-level mixing and altered local environments.</w:t>
      </w:r>
    </w:p>
    <w:p w14:paraId="46589185"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   These interaction-focused analyses are repeatedly highlighted as central to CAM stabilization rationale and interpretation.</w:t>
      </w:r>
    </w:p>
    <w:p w14:paraId="4ED36BB7" w14:textId="77777777" w:rsidR="00DF301C" w:rsidRPr="00DF301C" w:rsidRDefault="00DF301C" w:rsidP="00DF301C">
      <w:pPr>
        <w:spacing w:line="360" w:lineRule="auto"/>
        <w:rPr>
          <w:rFonts w:ascii="Times New Roman" w:hAnsi="Times New Roman" w:cs="Times New Roman"/>
          <w:sz w:val="24"/>
        </w:rPr>
      </w:pPr>
    </w:p>
    <w:p w14:paraId="1FD82180"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4.3 Stability and performance linkage</w:t>
      </w:r>
    </w:p>
    <w:p w14:paraId="4189F30F"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Accelerated stability testing under controlled temperature and humidity, paired with periodic XRPD and DSC checks, is necessary to confirm practical stability. Dissolution testing in both simple and biorelevant media links solid-state outcomes to functional performance.</w:t>
      </w:r>
    </w:p>
    <w:p w14:paraId="643E4BD5" w14:textId="77777777" w:rsidR="00DF301C" w:rsidRPr="00DF301C" w:rsidRDefault="00DF301C" w:rsidP="00DF301C">
      <w:pPr>
        <w:spacing w:line="360" w:lineRule="auto"/>
        <w:rPr>
          <w:rFonts w:ascii="Times New Roman" w:hAnsi="Times New Roman" w:cs="Times New Roman"/>
          <w:sz w:val="24"/>
        </w:rPr>
      </w:pPr>
    </w:p>
    <w:p w14:paraId="44F00BDC"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5. MECHANISTIC UNDERSTANDING OF FORMATION AND STABILITY</w:t>
      </w:r>
    </w:p>
    <w:p w14:paraId="4803DCD3" w14:textId="77777777" w:rsidR="00DF301C" w:rsidRPr="00DF301C" w:rsidRDefault="00DF301C" w:rsidP="00DF301C">
      <w:pPr>
        <w:spacing w:line="360" w:lineRule="auto"/>
        <w:rPr>
          <w:rFonts w:ascii="Times New Roman" w:hAnsi="Times New Roman" w:cs="Times New Roman"/>
          <w:sz w:val="24"/>
        </w:rPr>
      </w:pPr>
    </w:p>
    <w:p w14:paraId="573B65B0"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5.1 Intermolecular interactions as stabilizing drivers</w:t>
      </w:r>
    </w:p>
    <w:p w14:paraId="1CB90561" w14:textId="77777777" w:rsidR="00DF301C" w:rsidRPr="00DF301C" w:rsidRDefault="00DF301C" w:rsidP="00DF301C">
      <w:pPr>
        <w:spacing w:line="360" w:lineRule="auto"/>
        <w:rPr>
          <w:rFonts w:ascii="Times New Roman" w:hAnsi="Times New Roman" w:cs="Times New Roman"/>
          <w:sz w:val="24"/>
        </w:rPr>
      </w:pPr>
    </w:p>
    <w:p w14:paraId="0110180F"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lastRenderedPageBreak/>
        <w:t>1. Hydrogen bonding networks</w:t>
      </w:r>
    </w:p>
    <w:p w14:paraId="6177A54E"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   Hydrogen bonds can connect components into interaction motifs that hinder self-association and ordering; specific hydrogen-bond patterns have been experimentally analyzed in representative systems.</w:t>
      </w:r>
    </w:p>
    <w:p w14:paraId="460D8178"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2. Ionic pairing and salt-like behavior</w:t>
      </w:r>
    </w:p>
    <w:p w14:paraId="0F2CBFA0"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   Acid–base complementarity can yield ionic interactions that often enhance both stability and dissolution; studies on amino-acid co-formers highlight the assumed importance of salt formation for stability and solubility improvement.</w:t>
      </w:r>
    </w:p>
    <w:p w14:paraId="42C0073C"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3. Aromatic stacking and hydrophobic association</w:t>
      </w:r>
    </w:p>
    <w:p w14:paraId="5BE265C8"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   For aromatic-rich molecules, pi-related interactions and hydrophobic packing can contribute to dense disordered structures that reduce mobility and delay crystallization; these concepts are discussed within broader solid-form and interaction-framework reviews.</w:t>
      </w:r>
    </w:p>
    <w:p w14:paraId="17679375" w14:textId="77777777" w:rsidR="00DF301C" w:rsidRPr="00DF301C" w:rsidRDefault="00DF301C" w:rsidP="00DF301C">
      <w:pPr>
        <w:spacing w:line="360" w:lineRule="auto"/>
        <w:rPr>
          <w:rFonts w:ascii="Times New Roman" w:hAnsi="Times New Roman" w:cs="Times New Roman"/>
          <w:sz w:val="24"/>
        </w:rPr>
      </w:pPr>
    </w:p>
    <w:p w14:paraId="7B90B542"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5.2 Thermodynamics, miscibility, and phase behavior</w:t>
      </w:r>
    </w:p>
    <w:p w14:paraId="7986A94C"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Single-phase CAM formation requires sufficient miscibility in the amorphous state. Even if a CAM forms initially, thermodynamic driving forces can cause amorphous–amorphous phase separation over time, which can precede recrystallization. </w:t>
      </w:r>
      <w:proofErr w:type="spellStart"/>
      <w:r w:rsidRPr="00DF301C">
        <w:rPr>
          <w:rFonts w:ascii="Times New Roman" w:hAnsi="Times New Roman" w:cs="Times New Roman"/>
          <w:sz w:val="24"/>
        </w:rPr>
        <w:t>Tg</w:t>
      </w:r>
      <w:proofErr w:type="spellEnd"/>
      <w:r w:rsidRPr="00DF301C">
        <w:rPr>
          <w:rFonts w:ascii="Times New Roman" w:hAnsi="Times New Roman" w:cs="Times New Roman"/>
          <w:sz w:val="24"/>
        </w:rPr>
        <w:t xml:space="preserve"> elevation is commonly used as a practical indicator of reduced mobility, but miscibility and phase behavior still require experimental verification.</w:t>
      </w:r>
    </w:p>
    <w:p w14:paraId="3E19C06C" w14:textId="77777777" w:rsidR="00DF301C" w:rsidRPr="00DF301C" w:rsidRDefault="00DF301C" w:rsidP="00DF301C">
      <w:pPr>
        <w:spacing w:line="360" w:lineRule="auto"/>
        <w:rPr>
          <w:rFonts w:ascii="Times New Roman" w:hAnsi="Times New Roman" w:cs="Times New Roman"/>
          <w:sz w:val="24"/>
        </w:rPr>
      </w:pPr>
    </w:p>
    <w:p w14:paraId="7CF7B3CA"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5.3 Kinetic suppression of crystallization</w:t>
      </w:r>
    </w:p>
    <w:p w14:paraId="45B9544D"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Crystallization proceeds via nucleation and growth. CAMs suppress crystallization by reducing diffusion and molecular rearrangement (higher </w:t>
      </w:r>
      <w:proofErr w:type="spellStart"/>
      <w:r w:rsidRPr="00DF301C">
        <w:rPr>
          <w:rFonts w:ascii="Times New Roman" w:hAnsi="Times New Roman" w:cs="Times New Roman"/>
          <w:sz w:val="24"/>
        </w:rPr>
        <w:t>Tg</w:t>
      </w:r>
      <w:proofErr w:type="spellEnd"/>
      <w:r w:rsidRPr="00DF301C">
        <w:rPr>
          <w:rFonts w:ascii="Times New Roman" w:hAnsi="Times New Roman" w:cs="Times New Roman"/>
          <w:sz w:val="24"/>
        </w:rPr>
        <w:t>) and by disrupting the formation and stabilization of crystal-like clusters (interaction effects).</w:t>
      </w:r>
    </w:p>
    <w:p w14:paraId="71E3FAFE" w14:textId="77777777" w:rsidR="00DF301C" w:rsidRPr="00DF301C" w:rsidRDefault="00DF301C" w:rsidP="00DF301C">
      <w:pPr>
        <w:spacing w:line="360" w:lineRule="auto"/>
        <w:rPr>
          <w:rFonts w:ascii="Times New Roman" w:hAnsi="Times New Roman" w:cs="Times New Roman"/>
          <w:sz w:val="24"/>
        </w:rPr>
      </w:pPr>
    </w:p>
    <w:p w14:paraId="5220C720"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6. PRACTICAL DEVELOPMENT GUIDELINES</w:t>
      </w:r>
    </w:p>
    <w:p w14:paraId="4E840358" w14:textId="77777777" w:rsidR="00DF301C" w:rsidRPr="00DF301C" w:rsidRDefault="00DF301C" w:rsidP="00DF301C">
      <w:pPr>
        <w:spacing w:line="360" w:lineRule="auto"/>
        <w:rPr>
          <w:rFonts w:ascii="Times New Roman" w:hAnsi="Times New Roman" w:cs="Times New Roman"/>
          <w:sz w:val="24"/>
        </w:rPr>
      </w:pPr>
    </w:p>
    <w:p w14:paraId="39813650"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6.1 Co-former selection principles</w:t>
      </w:r>
    </w:p>
    <w:p w14:paraId="2D0D71C2"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Selection is typically guided by:</w:t>
      </w:r>
    </w:p>
    <w:p w14:paraId="77D1D905" w14:textId="77777777" w:rsidR="00DF301C" w:rsidRPr="00DF301C" w:rsidRDefault="00DF301C" w:rsidP="00DF301C">
      <w:pPr>
        <w:spacing w:line="360" w:lineRule="auto"/>
        <w:rPr>
          <w:rFonts w:ascii="Times New Roman" w:hAnsi="Times New Roman" w:cs="Times New Roman"/>
          <w:sz w:val="24"/>
        </w:rPr>
      </w:pPr>
    </w:p>
    <w:p w14:paraId="487F81D6"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1. Functional group complementarity for hydrogen bonding or ionic pairing</w:t>
      </w:r>
    </w:p>
    <w:p w14:paraId="5EA4D3AB"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2. </w:t>
      </w:r>
      <w:proofErr w:type="spellStart"/>
      <w:r w:rsidRPr="00DF301C">
        <w:rPr>
          <w:rFonts w:ascii="Times New Roman" w:hAnsi="Times New Roman" w:cs="Times New Roman"/>
          <w:sz w:val="24"/>
        </w:rPr>
        <w:t>pKa</w:t>
      </w:r>
      <w:proofErr w:type="spellEnd"/>
      <w:r w:rsidRPr="00DF301C">
        <w:rPr>
          <w:rFonts w:ascii="Times New Roman" w:hAnsi="Times New Roman" w:cs="Times New Roman"/>
          <w:sz w:val="24"/>
        </w:rPr>
        <w:t xml:space="preserve"> alignment for acid–base interactions when salt-like stabilization is intended</w:t>
      </w:r>
    </w:p>
    <w:p w14:paraId="74593AA8"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3. Safety and regulatory suitability for the intended application, especially in food-related contexts</w:t>
      </w:r>
    </w:p>
    <w:p w14:paraId="1E2C42AF"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   Amino acids are a well-established co-former class in CAM development, with documented improvements in stability and dissolution for multiple drug systems.</w:t>
      </w:r>
    </w:p>
    <w:p w14:paraId="2306EC99" w14:textId="77777777" w:rsidR="00DF301C" w:rsidRPr="00DF301C" w:rsidRDefault="00DF301C" w:rsidP="00DF301C">
      <w:pPr>
        <w:spacing w:line="360" w:lineRule="auto"/>
        <w:rPr>
          <w:rFonts w:ascii="Times New Roman" w:hAnsi="Times New Roman" w:cs="Times New Roman"/>
          <w:sz w:val="24"/>
        </w:rPr>
      </w:pPr>
    </w:p>
    <w:p w14:paraId="5BAF65D3"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6.2 Molar ratio optimization is not optional</w:t>
      </w:r>
    </w:p>
    <w:p w14:paraId="72E22AFD"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Quantitative and experimental studies show that optimal ratio can differ across conditions. Under humid storage, equimolar systems may outperform off-stoichiometric mixtures due to moisture-driven interaction changes and phenomena such as salt disproportionation, implying that ratio optimization should be performed under the intended storage environment.</w:t>
      </w:r>
    </w:p>
    <w:p w14:paraId="699815DB" w14:textId="77777777" w:rsidR="00DF301C" w:rsidRPr="00DF301C" w:rsidRDefault="00DF301C" w:rsidP="00DF301C">
      <w:pPr>
        <w:spacing w:line="360" w:lineRule="auto"/>
        <w:rPr>
          <w:rFonts w:ascii="Times New Roman" w:hAnsi="Times New Roman" w:cs="Times New Roman"/>
          <w:sz w:val="24"/>
        </w:rPr>
      </w:pPr>
    </w:p>
    <w:p w14:paraId="0A8B6CC5"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6.3 Moisture management is central</w:t>
      </w:r>
    </w:p>
    <w:p w14:paraId="21D87EDC"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Moisture can plasticize amorphous phases, reduce </w:t>
      </w:r>
      <w:proofErr w:type="spellStart"/>
      <w:r w:rsidRPr="00DF301C">
        <w:rPr>
          <w:rFonts w:ascii="Times New Roman" w:hAnsi="Times New Roman" w:cs="Times New Roman"/>
          <w:sz w:val="24"/>
        </w:rPr>
        <w:t>Tg</w:t>
      </w:r>
      <w:proofErr w:type="spellEnd"/>
      <w:r w:rsidRPr="00DF301C">
        <w:rPr>
          <w:rFonts w:ascii="Times New Roman" w:hAnsi="Times New Roman" w:cs="Times New Roman"/>
          <w:sz w:val="24"/>
        </w:rPr>
        <w:t>, alter molecular interactions, and accelerate recrystallization. Therefore:</w:t>
      </w:r>
    </w:p>
    <w:p w14:paraId="098787BB" w14:textId="77777777" w:rsidR="00DF301C" w:rsidRPr="00DF301C" w:rsidRDefault="00DF301C" w:rsidP="00DF301C">
      <w:pPr>
        <w:spacing w:line="360" w:lineRule="auto"/>
        <w:rPr>
          <w:rFonts w:ascii="Times New Roman" w:hAnsi="Times New Roman" w:cs="Times New Roman"/>
          <w:sz w:val="24"/>
        </w:rPr>
      </w:pPr>
    </w:p>
    <w:p w14:paraId="2F6EC130"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1. Evaluate stability under relevant relative humidity, not only dry conditions</w:t>
      </w:r>
    </w:p>
    <w:p w14:paraId="46F62761"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2. Use moisture-barrier packaging and desiccants when appropriate</w:t>
      </w:r>
    </w:p>
    <w:p w14:paraId="6C517F04"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3. Target </w:t>
      </w:r>
      <w:proofErr w:type="spellStart"/>
      <w:r w:rsidRPr="00DF301C">
        <w:rPr>
          <w:rFonts w:ascii="Times New Roman" w:hAnsi="Times New Roman" w:cs="Times New Roman"/>
          <w:sz w:val="24"/>
        </w:rPr>
        <w:t>Tg</w:t>
      </w:r>
      <w:proofErr w:type="spellEnd"/>
      <w:r w:rsidRPr="00DF301C">
        <w:rPr>
          <w:rFonts w:ascii="Times New Roman" w:hAnsi="Times New Roman" w:cs="Times New Roman"/>
          <w:sz w:val="24"/>
        </w:rPr>
        <w:t xml:space="preserve"> sufficiently above storage temperature as a risk-reduction heuristic, while still verifying experimentally</w:t>
      </w:r>
    </w:p>
    <w:p w14:paraId="0D82A0EF" w14:textId="77777777" w:rsidR="00DF301C" w:rsidRPr="00DF301C" w:rsidRDefault="00DF301C" w:rsidP="00DF301C">
      <w:pPr>
        <w:spacing w:line="360" w:lineRule="auto"/>
        <w:rPr>
          <w:rFonts w:ascii="Times New Roman" w:hAnsi="Times New Roman" w:cs="Times New Roman"/>
          <w:sz w:val="24"/>
        </w:rPr>
      </w:pPr>
    </w:p>
    <w:p w14:paraId="6764BAA0"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6.4 Processing and downstream manufacturability</w:t>
      </w:r>
    </w:p>
    <w:p w14:paraId="1E58891C"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Compaction, shear, and localized heating in downstream processes can trigger crystallization. Solid-state monitoring after key unit operations is recommended to ensure the CAM state is retained.</w:t>
      </w:r>
    </w:p>
    <w:p w14:paraId="4590A9C0" w14:textId="77777777" w:rsidR="00DF301C" w:rsidRPr="00DF301C" w:rsidRDefault="00DF301C" w:rsidP="00DF301C">
      <w:pPr>
        <w:spacing w:line="360" w:lineRule="auto"/>
        <w:rPr>
          <w:rFonts w:ascii="Times New Roman" w:hAnsi="Times New Roman" w:cs="Times New Roman"/>
          <w:sz w:val="24"/>
        </w:rPr>
      </w:pPr>
    </w:p>
    <w:p w14:paraId="59CCF587"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7. APPLICATION MAP FOR YOUR PLATFORM CONTEXT</w:t>
      </w:r>
    </w:p>
    <w:p w14:paraId="26F42086" w14:textId="77777777" w:rsidR="00DF301C" w:rsidRPr="00DF301C" w:rsidRDefault="00DF301C" w:rsidP="00DF301C">
      <w:pPr>
        <w:spacing w:line="360" w:lineRule="auto"/>
        <w:rPr>
          <w:rFonts w:ascii="Times New Roman" w:hAnsi="Times New Roman" w:cs="Times New Roman"/>
          <w:sz w:val="24"/>
        </w:rPr>
      </w:pPr>
    </w:p>
    <w:p w14:paraId="7E907E68"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7.1 Functional target modules</w:t>
      </w:r>
    </w:p>
    <w:p w14:paraId="084E51CC" w14:textId="77777777" w:rsidR="00DF301C" w:rsidRPr="00DF301C" w:rsidRDefault="00DF301C" w:rsidP="00DF301C">
      <w:pPr>
        <w:spacing w:line="360" w:lineRule="auto"/>
        <w:rPr>
          <w:rFonts w:ascii="Times New Roman" w:hAnsi="Times New Roman" w:cs="Times New Roman"/>
          <w:sz w:val="24"/>
        </w:rPr>
      </w:pPr>
    </w:p>
    <w:p w14:paraId="3FA4B5E2"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1. Solubilization</w:t>
      </w:r>
    </w:p>
    <w:p w14:paraId="2CE2707A"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   Driven by amorphous free-energy elevation, microenvironmental pH effects, and ionic pairing in selected systems.</w:t>
      </w:r>
    </w:p>
    <w:p w14:paraId="0601B5D7"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2. Antibacterial and antioxidant function (when using bioactive co-formers or natural actives)</w:t>
      </w:r>
    </w:p>
    <w:p w14:paraId="0AA9B175"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   CAMs can improve functional accessibility by improving dispersion and release kinetics; functional outcomes still depend on the intrinsic activity and stability of the active molecules in the relevant matrix.</w:t>
      </w:r>
    </w:p>
    <w:p w14:paraId="2B097965" w14:textId="77777777" w:rsidR="00DF301C" w:rsidRPr="00DF301C" w:rsidRDefault="00DF301C" w:rsidP="00DF301C">
      <w:pPr>
        <w:spacing w:line="360" w:lineRule="auto"/>
        <w:rPr>
          <w:rFonts w:ascii="Times New Roman" w:hAnsi="Times New Roman" w:cs="Times New Roman"/>
          <w:sz w:val="24"/>
        </w:rPr>
      </w:pPr>
    </w:p>
    <w:p w14:paraId="2582F1C2"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7.2 Application scenarios relevant to food-derived actives and green materials</w:t>
      </w:r>
    </w:p>
    <w:p w14:paraId="2B815FB1" w14:textId="77777777" w:rsidR="00DF301C" w:rsidRPr="00DF301C" w:rsidRDefault="00DF301C" w:rsidP="00DF301C">
      <w:pPr>
        <w:spacing w:line="360" w:lineRule="auto"/>
        <w:rPr>
          <w:rFonts w:ascii="Times New Roman" w:hAnsi="Times New Roman" w:cs="Times New Roman"/>
          <w:sz w:val="24"/>
        </w:rPr>
      </w:pPr>
    </w:p>
    <w:p w14:paraId="1D40D654"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1. Food preservation coatings and films</w:t>
      </w:r>
    </w:p>
    <w:p w14:paraId="5B6B23DD"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   Embedding CAM powders into biopolymer matrices can couple improved release with material-based protection, provided the CAM remains stable in the film-forming environment.</w:t>
      </w:r>
    </w:p>
    <w:p w14:paraId="384BBCD6"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2. Wound dressing materials</w:t>
      </w:r>
    </w:p>
    <w:p w14:paraId="4C9838A1"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   CAMs may enable high local loading and controlled release when combined with biocompatible film or hydrogel matrices.</w:t>
      </w:r>
    </w:p>
    <w:p w14:paraId="06C15EFE"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3. Dietary supplements and functional foods</w:t>
      </w:r>
    </w:p>
    <w:p w14:paraId="4365FC55"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   CAMs can improve dissolution in gastrointestinal conditions and support formulation compactness, but must be aligned with safety, stability, and regulatory constraints.</w:t>
      </w:r>
    </w:p>
    <w:p w14:paraId="3A8E1C5A"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   These application extensions should be validated with solid-state retention tests plus performance assays under realistic use conditions.</w:t>
      </w:r>
    </w:p>
    <w:p w14:paraId="78E26981" w14:textId="77777777" w:rsidR="00DF301C" w:rsidRPr="00DF301C" w:rsidRDefault="00DF301C" w:rsidP="00DF301C">
      <w:pPr>
        <w:spacing w:line="360" w:lineRule="auto"/>
        <w:rPr>
          <w:rFonts w:ascii="Times New Roman" w:hAnsi="Times New Roman" w:cs="Times New Roman"/>
          <w:sz w:val="24"/>
        </w:rPr>
      </w:pPr>
    </w:p>
    <w:p w14:paraId="20F67EA3"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8) RECOMMENDED KNOWLEDGE-BASE EXTENSIONS FOR MODELING AND PLATFORMIZATION</w:t>
      </w:r>
    </w:p>
    <w:p w14:paraId="2B6507F6" w14:textId="77777777" w:rsidR="00DF301C" w:rsidRPr="00DF301C" w:rsidRDefault="00DF301C" w:rsidP="00DF301C">
      <w:pPr>
        <w:spacing w:line="360" w:lineRule="auto"/>
        <w:rPr>
          <w:rFonts w:ascii="Times New Roman" w:hAnsi="Times New Roman" w:cs="Times New Roman"/>
          <w:sz w:val="24"/>
        </w:rPr>
      </w:pPr>
    </w:p>
    <w:p w14:paraId="5DEF2C8D"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8.1 Standard record schema</w:t>
      </w:r>
    </w:p>
    <w:p w14:paraId="3B8D024D"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Store per formulation:</w:t>
      </w:r>
    </w:p>
    <w:p w14:paraId="2B9E1F16"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component identifiers (SMILES, </w:t>
      </w:r>
      <w:proofErr w:type="spellStart"/>
      <w:r w:rsidRPr="00DF301C">
        <w:rPr>
          <w:rFonts w:ascii="Times New Roman" w:hAnsi="Times New Roman" w:cs="Times New Roman"/>
          <w:sz w:val="24"/>
        </w:rPr>
        <w:t>InChIKey</w:t>
      </w:r>
      <w:proofErr w:type="spellEnd"/>
      <w:r w:rsidRPr="00DF301C">
        <w:rPr>
          <w:rFonts w:ascii="Times New Roman" w:hAnsi="Times New Roman" w:cs="Times New Roman"/>
          <w:sz w:val="24"/>
        </w:rPr>
        <w:t xml:space="preserve">), molar ratio, preparation route, drying profile, residual water or solvent, XRPD outcome, </w:t>
      </w:r>
      <w:proofErr w:type="spellStart"/>
      <w:r w:rsidRPr="00DF301C">
        <w:rPr>
          <w:rFonts w:ascii="Times New Roman" w:hAnsi="Times New Roman" w:cs="Times New Roman"/>
          <w:sz w:val="24"/>
        </w:rPr>
        <w:t>Tg</w:t>
      </w:r>
      <w:proofErr w:type="spellEnd"/>
      <w:r w:rsidRPr="00DF301C">
        <w:rPr>
          <w:rFonts w:ascii="Times New Roman" w:hAnsi="Times New Roman" w:cs="Times New Roman"/>
          <w:sz w:val="24"/>
        </w:rPr>
        <w:t>, interaction evidence summary, stability protocol and outcome, dissolution metrics.</w:t>
      </w:r>
    </w:p>
    <w:p w14:paraId="6C1B6409" w14:textId="77777777" w:rsidR="00DF301C" w:rsidRPr="00DF301C" w:rsidRDefault="00DF301C" w:rsidP="00DF301C">
      <w:pPr>
        <w:spacing w:line="360" w:lineRule="auto"/>
        <w:rPr>
          <w:rFonts w:ascii="Times New Roman" w:hAnsi="Times New Roman" w:cs="Times New Roman"/>
          <w:sz w:val="24"/>
        </w:rPr>
      </w:pPr>
    </w:p>
    <w:p w14:paraId="71D98D53"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8.2 Feature engineering targets aligned with CAM literature</w:t>
      </w:r>
    </w:p>
    <w:p w14:paraId="420FA442" w14:textId="77777777" w:rsidR="00DF301C" w:rsidRPr="00DF301C" w:rsidRDefault="00DF301C" w:rsidP="00DF301C">
      <w:pPr>
        <w:spacing w:line="360" w:lineRule="auto"/>
        <w:rPr>
          <w:rFonts w:ascii="Times New Roman" w:hAnsi="Times New Roman" w:cs="Times New Roman"/>
          <w:sz w:val="24"/>
        </w:rPr>
      </w:pPr>
    </w:p>
    <w:p w14:paraId="6D1D6299"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1. Interaction potential features: HBD and HBA counts, </w:t>
      </w:r>
      <w:proofErr w:type="spellStart"/>
      <w:r w:rsidRPr="00DF301C">
        <w:rPr>
          <w:rFonts w:ascii="Times New Roman" w:hAnsi="Times New Roman" w:cs="Times New Roman"/>
          <w:sz w:val="24"/>
        </w:rPr>
        <w:t>pKa</w:t>
      </w:r>
      <w:proofErr w:type="spellEnd"/>
      <w:r w:rsidRPr="00DF301C">
        <w:rPr>
          <w:rFonts w:ascii="Times New Roman" w:hAnsi="Times New Roman" w:cs="Times New Roman"/>
          <w:sz w:val="24"/>
        </w:rPr>
        <w:t xml:space="preserve"> complementarity, ionization state proxies</w:t>
      </w:r>
    </w:p>
    <w:p w14:paraId="1B5C73A2"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2. Mobility proxies: predicted </w:t>
      </w:r>
      <w:proofErr w:type="spellStart"/>
      <w:r w:rsidRPr="00DF301C">
        <w:rPr>
          <w:rFonts w:ascii="Times New Roman" w:hAnsi="Times New Roman" w:cs="Times New Roman"/>
          <w:sz w:val="24"/>
        </w:rPr>
        <w:t>Tg</w:t>
      </w:r>
      <w:proofErr w:type="spellEnd"/>
      <w:r w:rsidRPr="00DF301C">
        <w:rPr>
          <w:rFonts w:ascii="Times New Roman" w:hAnsi="Times New Roman" w:cs="Times New Roman"/>
          <w:sz w:val="24"/>
        </w:rPr>
        <w:t>, melting point-related descriptors, molecular flexibility indicators</w:t>
      </w:r>
    </w:p>
    <w:p w14:paraId="44CCBEA1" w14:textId="77777777" w:rsidR="00DF301C"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3. Polarity and packing descriptors: </w:t>
      </w:r>
      <w:proofErr w:type="spellStart"/>
      <w:r w:rsidRPr="00DF301C">
        <w:rPr>
          <w:rFonts w:ascii="Times New Roman" w:hAnsi="Times New Roman" w:cs="Times New Roman"/>
          <w:sz w:val="24"/>
        </w:rPr>
        <w:t>logP</w:t>
      </w:r>
      <w:proofErr w:type="spellEnd"/>
      <w:r w:rsidRPr="00DF301C">
        <w:rPr>
          <w:rFonts w:ascii="Times New Roman" w:hAnsi="Times New Roman" w:cs="Times New Roman"/>
          <w:sz w:val="24"/>
        </w:rPr>
        <w:t>, TPSA, aromaticity-related features</w:t>
      </w:r>
    </w:p>
    <w:p w14:paraId="70962C68" w14:textId="7DBA09D7" w:rsidR="00B047F2" w:rsidRPr="00DF301C" w:rsidRDefault="00DF301C" w:rsidP="00DF301C">
      <w:pPr>
        <w:spacing w:line="360" w:lineRule="auto"/>
        <w:rPr>
          <w:rFonts w:ascii="Times New Roman" w:hAnsi="Times New Roman" w:cs="Times New Roman"/>
          <w:sz w:val="24"/>
        </w:rPr>
      </w:pPr>
      <w:r w:rsidRPr="00DF301C">
        <w:rPr>
          <w:rFonts w:ascii="Times New Roman" w:hAnsi="Times New Roman" w:cs="Times New Roman"/>
          <w:sz w:val="24"/>
        </w:rPr>
        <w:t xml:space="preserve">   These align with the emphasis in quantitative reviews on co-formability, stability, and dissolution as core targets to predict and optimize.</w:t>
      </w:r>
    </w:p>
    <w:sectPr w:rsidR="00B047F2" w:rsidRPr="00DF301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D98"/>
    <w:multiLevelType w:val="multilevel"/>
    <w:tmpl w:val="01B4AB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E2246"/>
    <w:multiLevelType w:val="multilevel"/>
    <w:tmpl w:val="33C8F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A06AE"/>
    <w:multiLevelType w:val="multilevel"/>
    <w:tmpl w:val="BF583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0F5291"/>
    <w:multiLevelType w:val="multilevel"/>
    <w:tmpl w:val="945872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6C2A0C"/>
    <w:multiLevelType w:val="multilevel"/>
    <w:tmpl w:val="8B3027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F43D64"/>
    <w:multiLevelType w:val="multilevel"/>
    <w:tmpl w:val="C8E45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5451C3"/>
    <w:multiLevelType w:val="multilevel"/>
    <w:tmpl w:val="EA94DD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BF7801"/>
    <w:multiLevelType w:val="multilevel"/>
    <w:tmpl w:val="4030E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BF32C9"/>
    <w:multiLevelType w:val="multilevel"/>
    <w:tmpl w:val="16BC7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3F411B"/>
    <w:multiLevelType w:val="multilevel"/>
    <w:tmpl w:val="F2507A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EF04BC"/>
    <w:multiLevelType w:val="multilevel"/>
    <w:tmpl w:val="862E2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C67CBB"/>
    <w:multiLevelType w:val="multilevel"/>
    <w:tmpl w:val="EDEE8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CB0A5F"/>
    <w:multiLevelType w:val="multilevel"/>
    <w:tmpl w:val="35F679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08681F"/>
    <w:multiLevelType w:val="multilevel"/>
    <w:tmpl w:val="5560D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D47B4F"/>
    <w:multiLevelType w:val="multilevel"/>
    <w:tmpl w:val="D138E4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BD59EC"/>
    <w:multiLevelType w:val="multilevel"/>
    <w:tmpl w:val="1DEAE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0A06F3"/>
    <w:multiLevelType w:val="multilevel"/>
    <w:tmpl w:val="6D387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8756435">
    <w:abstractNumId w:val="5"/>
  </w:num>
  <w:num w:numId="2" w16cid:durableId="1056127966">
    <w:abstractNumId w:val="7"/>
  </w:num>
  <w:num w:numId="3" w16cid:durableId="1852180666">
    <w:abstractNumId w:val="14"/>
  </w:num>
  <w:num w:numId="4" w16cid:durableId="1750811336">
    <w:abstractNumId w:val="12"/>
  </w:num>
  <w:num w:numId="5" w16cid:durableId="556941165">
    <w:abstractNumId w:val="6"/>
  </w:num>
  <w:num w:numId="6" w16cid:durableId="45566653">
    <w:abstractNumId w:val="16"/>
  </w:num>
  <w:num w:numId="7" w16cid:durableId="98716774">
    <w:abstractNumId w:val="11"/>
  </w:num>
  <w:num w:numId="8" w16cid:durableId="950823818">
    <w:abstractNumId w:val="3"/>
  </w:num>
  <w:num w:numId="9" w16cid:durableId="2112160534">
    <w:abstractNumId w:val="10"/>
  </w:num>
  <w:num w:numId="10" w16cid:durableId="1198354709">
    <w:abstractNumId w:val="0"/>
  </w:num>
  <w:num w:numId="11" w16cid:durableId="1938294061">
    <w:abstractNumId w:val="1"/>
  </w:num>
  <w:num w:numId="12" w16cid:durableId="933367906">
    <w:abstractNumId w:val="8"/>
  </w:num>
  <w:num w:numId="13" w16cid:durableId="729110423">
    <w:abstractNumId w:val="9"/>
  </w:num>
  <w:num w:numId="14" w16cid:durableId="1083340014">
    <w:abstractNumId w:val="15"/>
  </w:num>
  <w:num w:numId="15" w16cid:durableId="1297445999">
    <w:abstractNumId w:val="2"/>
  </w:num>
  <w:num w:numId="16" w16cid:durableId="1278021265">
    <w:abstractNumId w:val="4"/>
  </w:num>
  <w:num w:numId="17" w16cid:durableId="3185822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3D81CE7"/>
    <w:rsid w:val="001C3C34"/>
    <w:rsid w:val="00B047F2"/>
    <w:rsid w:val="00DF301C"/>
    <w:rsid w:val="029119C5"/>
    <w:rsid w:val="53D81C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B887A9"/>
  <w15:docId w15:val="{DC3EDC78-8CA7-4249-98EC-707602EDC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4168</Words>
  <Characters>8211</Characters>
  <Application>Microsoft Office Word</Application>
  <DocSecurity>0</DocSecurity>
  <Lines>357</Lines>
  <Paragraphs>269</Paragraphs>
  <ScaleCrop>false</ScaleCrop>
  <Company/>
  <LinksUpToDate>false</LinksUpToDate>
  <CharactersWithSpaces>12110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Reader</dc:creator>
  <cp:lastModifiedBy>xueyou zhang</cp:lastModifiedBy>
  <cp:revision>2</cp:revision>
  <dcterms:created xsi:type="dcterms:W3CDTF">2025-11-15T08:23:00Z</dcterms:created>
  <dcterms:modified xsi:type="dcterms:W3CDTF">2026-02-18T04:10:00Z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6EBBC7F4932B40C59A06F5D1591F6DDB_11</vt:lpwstr>
  </property>
  <property fmtid="{D5CDD505-2E9C-101B-9397-08002B2CF9AE}" pid="4" name="KSOTemplateDocerSaveRecord">
    <vt:lpwstr>eyJoZGlkIjoiOGVjZWRlNTkyODdiZGQ1Y2ZjMGRlZmE2YzkzYTQ2ZGQiLCJ1c2VySWQiOiIxMDY4ODQ3MzQyIn0=</vt:lpwstr>
  </property>
</Properties>
</file>