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1C7E">
      <w:pPr>
        <w:spacing w:after="200" w:line="276" w:lineRule="auto"/>
      </w:pPr>
    </w:p>
    <w:p w14:paraId="7B8CCCEF">
      <w:pPr>
        <w:spacing w:line="360" w:lineRule="auto"/>
        <w:ind w:firstLine="201"/>
        <w:rPr>
          <w:b/>
          <w:sz w:val="10"/>
          <w:szCs w:val="10"/>
        </w:rPr>
      </w:pPr>
      <w:r>
        <w:rPr>
          <w:b/>
          <w:sz w:val="10"/>
          <w:szCs w:val="10"/>
        </w:rPr>
        <w:drawing>
          <wp:inline distT="0" distB="0" distL="0" distR="0">
            <wp:extent cx="1021080" cy="1021080"/>
            <wp:effectExtent l="0" t="0" r="7620" b="7620"/>
            <wp:docPr id="3" name="图片 3" descr="4cm以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cm以下1"/>
                    <pic:cNvPicPr>
                      <a:picLocks noChangeAspect="1" noChangeArrowheads="1"/>
                    </pic:cNvPicPr>
                  </pic:nvPicPr>
                  <pic:blipFill>
                    <a:blip r:embed="rId6" cstate="print">
                      <a:biLevel thresh="50000"/>
                      <a:grayscl/>
                    </a:blip>
                    <a:stretch>
                      <a:fillRect/>
                    </a:stretch>
                  </pic:blipFill>
                  <pic:spPr>
                    <a:xfrm>
                      <a:off x="0" y="0"/>
                      <a:ext cx="1021080" cy="1021080"/>
                    </a:xfrm>
                    <a:prstGeom prst="rect">
                      <a:avLst/>
                    </a:prstGeom>
                    <a:noFill/>
                    <a:ln w="9525">
                      <a:noFill/>
                      <a:miter lim="800000"/>
                      <a:headEnd/>
                      <a:tailEnd/>
                    </a:ln>
                  </pic:spPr>
                </pic:pic>
              </a:graphicData>
            </a:graphic>
          </wp:inline>
        </w:drawing>
      </w:r>
    </w:p>
    <w:p w14:paraId="639EF1BF">
      <w:pPr>
        <w:spacing w:line="360" w:lineRule="auto"/>
        <w:jc w:val="center"/>
        <w:rPr>
          <w:b/>
          <w:sz w:val="10"/>
          <w:szCs w:val="10"/>
        </w:rPr>
      </w:pPr>
      <w:r>
        <w:rPr>
          <w:b/>
          <w:sz w:val="72"/>
          <w:szCs w:val="72"/>
        </w:rPr>
        <w:drawing>
          <wp:inline distT="0" distB="0" distL="0" distR="0">
            <wp:extent cx="2482215" cy="641350"/>
            <wp:effectExtent l="0" t="0" r="13335" b="6350"/>
            <wp:docPr id="4" name="图片 4" descr="4cm以上 校徽-横1-西京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cm以上 校徽-横1-西京绿"/>
                    <pic:cNvPicPr>
                      <a:picLocks noChangeAspect="1" noChangeArrowheads="1"/>
                    </pic:cNvPicPr>
                  </pic:nvPicPr>
                  <pic:blipFill>
                    <a:blip r:embed="rId7" cstate="print">
                      <a:biLevel thresh="50000"/>
                      <a:grayscl/>
                    </a:blip>
                    <a:srcRect l="35129" t="13589" b="33774"/>
                    <a:stretch>
                      <a:fillRect/>
                    </a:stretch>
                  </pic:blipFill>
                  <pic:spPr>
                    <a:xfrm>
                      <a:off x="0" y="0"/>
                      <a:ext cx="2482215" cy="641350"/>
                    </a:xfrm>
                    <a:prstGeom prst="rect">
                      <a:avLst/>
                    </a:prstGeom>
                    <a:noFill/>
                    <a:ln w="9525">
                      <a:noFill/>
                      <a:miter lim="800000"/>
                      <a:headEnd/>
                      <a:tailEnd/>
                    </a:ln>
                  </pic:spPr>
                </pic:pic>
              </a:graphicData>
            </a:graphic>
          </wp:inline>
        </w:drawing>
      </w:r>
    </w:p>
    <w:p w14:paraId="63AD0F37">
      <w:pPr>
        <w:spacing w:after="200" w:line="276" w:lineRule="auto"/>
      </w:pPr>
    </w:p>
    <w:p w14:paraId="012DA13A">
      <w:pPr>
        <w:pStyle w:val="3"/>
        <w:jc w:val="center"/>
        <w:rPr>
          <w:rFonts w:hint="eastAsia" w:ascii="经典仿宋简" w:hAnsi="经典仿宋简" w:eastAsia="经典仿宋简" w:cs="经典仿宋简"/>
          <w:b/>
          <w:bCs w:val="0"/>
          <w:sz w:val="52"/>
          <w:szCs w:val="72"/>
        </w:rPr>
      </w:pPr>
      <w:bookmarkStart w:id="0" w:name="_Toc25358"/>
      <w:bookmarkStart w:id="1" w:name="_Toc31482_WPSOffice_Level2"/>
      <w:bookmarkStart w:id="2" w:name="_Toc12266"/>
      <w:bookmarkStart w:id="3" w:name="_Toc17325_WPSOffice_Level2"/>
      <w:r>
        <w:rPr>
          <w:rFonts w:hint="eastAsia" w:ascii="经典仿宋简" w:hAnsi="经典仿宋简" w:eastAsia="经典仿宋简" w:cs="经典仿宋简"/>
          <w:b/>
          <w:bCs w:val="0"/>
          <w:sz w:val="52"/>
          <w:szCs w:val="72"/>
        </w:rPr>
        <w:t>本科毕业设计（论文）开题报告</w:t>
      </w:r>
      <w:bookmarkEnd w:id="0"/>
      <w:bookmarkEnd w:id="1"/>
      <w:bookmarkEnd w:id="2"/>
      <w:bookmarkEnd w:id="3"/>
    </w:p>
    <w:p w14:paraId="4E8EE54B">
      <w:pPr>
        <w:spacing w:after="200" w:line="276" w:lineRule="auto"/>
        <w:rPr>
          <w:b/>
          <w:sz w:val="30"/>
          <w:szCs w:val="30"/>
        </w:rPr>
      </w:pPr>
    </w:p>
    <w:tbl>
      <w:tblPr>
        <w:tblStyle w:val="10"/>
        <w:tblW w:w="8442" w:type="dxa"/>
        <w:jc w:val="center"/>
        <w:tblLayout w:type="fixed"/>
        <w:tblCellMar>
          <w:top w:w="0" w:type="dxa"/>
          <w:left w:w="108" w:type="dxa"/>
          <w:bottom w:w="0" w:type="dxa"/>
          <w:right w:w="108" w:type="dxa"/>
        </w:tblCellMar>
      </w:tblPr>
      <w:tblGrid>
        <w:gridCol w:w="1943"/>
        <w:gridCol w:w="6499"/>
      </w:tblGrid>
      <w:tr w14:paraId="1C3079B0">
        <w:tblPrEx>
          <w:tblCellMar>
            <w:top w:w="0" w:type="dxa"/>
            <w:left w:w="108" w:type="dxa"/>
            <w:bottom w:w="0" w:type="dxa"/>
            <w:right w:w="108" w:type="dxa"/>
          </w:tblCellMar>
        </w:tblPrEx>
        <w:trPr>
          <w:trHeight w:val="680" w:hRule="atLeast"/>
          <w:jc w:val="center"/>
        </w:trPr>
        <w:tc>
          <w:tcPr>
            <w:tcW w:w="1943" w:type="dxa"/>
            <w:vAlign w:val="bottom"/>
          </w:tcPr>
          <w:p w14:paraId="5AFF4311">
            <w:pPr>
              <w:snapToGrid w:val="0"/>
              <w:jc w:val="center"/>
              <w:rPr>
                <w:rFonts w:eastAsia="黑体"/>
                <w:sz w:val="32"/>
                <w:szCs w:val="32"/>
              </w:rPr>
            </w:pPr>
            <w:bookmarkStart w:id="4" w:name="_GoBack"/>
            <w:bookmarkEnd w:id="4"/>
            <w:r>
              <w:rPr>
                <w:rFonts w:hint="eastAsia" w:eastAsia="黑体"/>
                <w:sz w:val="32"/>
                <w:szCs w:val="32"/>
              </w:rPr>
              <w:t>题  目：</w:t>
            </w:r>
          </w:p>
        </w:tc>
        <w:tc>
          <w:tcPr>
            <w:tcW w:w="6499" w:type="dxa"/>
            <w:tcBorders>
              <w:bottom w:val="single" w:color="auto" w:sz="4" w:space="0"/>
            </w:tcBorders>
            <w:vAlign w:val="center"/>
          </w:tcPr>
          <w:p w14:paraId="0DBCB9CC">
            <w:pPr>
              <w:snapToGrid w:val="0"/>
              <w:jc w:val="center"/>
              <w:rPr>
                <w:rFonts w:eastAsia="仿宋"/>
                <w:b/>
                <w:sz w:val="32"/>
                <w:szCs w:val="32"/>
              </w:rPr>
            </w:pPr>
            <w:r>
              <w:rPr>
                <w:rFonts w:hint="eastAsia" w:eastAsia="仿宋"/>
                <w:b/>
                <w:sz w:val="32"/>
                <w:szCs w:val="32"/>
              </w:rPr>
              <w:t>基于数据挖掘的睡眠障碍分类研究</w:t>
            </w:r>
          </w:p>
        </w:tc>
      </w:tr>
      <w:tr w14:paraId="2CF30E19">
        <w:tblPrEx>
          <w:tblCellMar>
            <w:top w:w="0" w:type="dxa"/>
            <w:left w:w="108" w:type="dxa"/>
            <w:bottom w:w="0" w:type="dxa"/>
            <w:right w:w="108" w:type="dxa"/>
          </w:tblCellMar>
        </w:tblPrEx>
        <w:trPr>
          <w:trHeight w:val="680" w:hRule="atLeast"/>
          <w:jc w:val="center"/>
        </w:trPr>
        <w:tc>
          <w:tcPr>
            <w:tcW w:w="1943" w:type="dxa"/>
            <w:vAlign w:val="center"/>
          </w:tcPr>
          <w:p w14:paraId="0AB91FB8">
            <w:pPr>
              <w:snapToGrid w:val="0"/>
              <w:ind w:firstLine="643"/>
              <w:jc w:val="center"/>
              <w:rPr>
                <w:b/>
                <w:bCs/>
                <w:sz w:val="28"/>
                <w:szCs w:val="28"/>
              </w:rPr>
            </w:pPr>
          </w:p>
        </w:tc>
        <w:tc>
          <w:tcPr>
            <w:tcW w:w="6499" w:type="dxa"/>
            <w:tcBorders>
              <w:top w:val="single" w:color="auto" w:sz="4" w:space="0"/>
              <w:bottom w:val="single" w:color="auto" w:sz="4" w:space="0"/>
            </w:tcBorders>
            <w:vAlign w:val="center"/>
          </w:tcPr>
          <w:p w14:paraId="7B0293F5">
            <w:pPr>
              <w:snapToGrid w:val="0"/>
              <w:jc w:val="center"/>
              <w:rPr>
                <w:b/>
                <w:szCs w:val="21"/>
              </w:rPr>
            </w:pPr>
            <w:r>
              <w:rPr>
                <w:rFonts w:hint="eastAsia" w:eastAsia="仿宋"/>
                <w:b/>
                <w:sz w:val="32"/>
                <w:szCs w:val="32"/>
              </w:rPr>
              <w:t>应用研究</w:t>
            </w:r>
          </w:p>
        </w:tc>
      </w:tr>
      <w:tr w14:paraId="431DDF0A">
        <w:tblPrEx>
          <w:tblCellMar>
            <w:top w:w="0" w:type="dxa"/>
            <w:left w:w="108" w:type="dxa"/>
            <w:bottom w:w="0" w:type="dxa"/>
            <w:right w:w="108" w:type="dxa"/>
          </w:tblCellMar>
        </w:tblPrEx>
        <w:trPr>
          <w:trHeight w:val="680" w:hRule="atLeast"/>
          <w:jc w:val="center"/>
        </w:trPr>
        <w:tc>
          <w:tcPr>
            <w:tcW w:w="1943" w:type="dxa"/>
            <w:vAlign w:val="bottom"/>
          </w:tcPr>
          <w:p w14:paraId="0370A4BC">
            <w:pPr>
              <w:jc w:val="center"/>
              <w:rPr>
                <w:rFonts w:eastAsia="仿宋"/>
                <w:b/>
                <w:sz w:val="32"/>
                <w:szCs w:val="32"/>
              </w:rPr>
            </w:pPr>
            <w:r>
              <w:rPr>
                <w:rFonts w:hint="eastAsia" w:eastAsia="仿宋"/>
                <w:b/>
                <w:sz w:val="32"/>
                <w:szCs w:val="32"/>
              </w:rPr>
              <w:t>院  系：</w:t>
            </w:r>
          </w:p>
        </w:tc>
        <w:tc>
          <w:tcPr>
            <w:tcW w:w="6499" w:type="dxa"/>
            <w:tcBorders>
              <w:top w:val="single" w:color="auto" w:sz="4" w:space="0"/>
              <w:bottom w:val="single" w:color="auto" w:sz="4" w:space="0"/>
            </w:tcBorders>
            <w:vAlign w:val="center"/>
          </w:tcPr>
          <w:p w14:paraId="136C76FF">
            <w:pPr>
              <w:jc w:val="center"/>
              <w:rPr>
                <w:rFonts w:hint="eastAsia" w:ascii="仿宋" w:hAnsi="仿宋" w:eastAsia="仿宋"/>
                <w:b/>
                <w:color w:val="FF0000"/>
                <w:sz w:val="32"/>
                <w:szCs w:val="32"/>
              </w:rPr>
            </w:pPr>
            <w:r>
              <w:rPr>
                <w:rFonts w:hint="eastAsia" w:ascii="仿宋" w:hAnsi="仿宋" w:eastAsia="仿宋"/>
                <w:b/>
                <w:sz w:val="32"/>
                <w:szCs w:val="32"/>
              </w:rPr>
              <w:t>计算机学院</w:t>
            </w:r>
          </w:p>
        </w:tc>
      </w:tr>
      <w:tr w14:paraId="2737AA4A">
        <w:tblPrEx>
          <w:tblCellMar>
            <w:top w:w="0" w:type="dxa"/>
            <w:left w:w="108" w:type="dxa"/>
            <w:bottom w:w="0" w:type="dxa"/>
            <w:right w:w="108" w:type="dxa"/>
          </w:tblCellMar>
        </w:tblPrEx>
        <w:trPr>
          <w:trHeight w:val="680" w:hRule="atLeast"/>
          <w:jc w:val="center"/>
        </w:trPr>
        <w:tc>
          <w:tcPr>
            <w:tcW w:w="1943" w:type="dxa"/>
            <w:vAlign w:val="bottom"/>
          </w:tcPr>
          <w:p w14:paraId="6C026AA2">
            <w:pPr>
              <w:jc w:val="center"/>
              <w:rPr>
                <w:rFonts w:eastAsia="仿宋"/>
                <w:b/>
                <w:sz w:val="32"/>
                <w:szCs w:val="32"/>
              </w:rPr>
            </w:pPr>
            <w:r>
              <w:rPr>
                <w:rFonts w:hint="eastAsia" w:eastAsia="仿宋"/>
                <w:b/>
                <w:sz w:val="32"/>
                <w:szCs w:val="32"/>
              </w:rPr>
              <w:t>专  业：</w:t>
            </w:r>
          </w:p>
        </w:tc>
        <w:tc>
          <w:tcPr>
            <w:tcW w:w="6499" w:type="dxa"/>
            <w:tcBorders>
              <w:top w:val="single" w:color="auto" w:sz="4" w:space="0"/>
              <w:bottom w:val="single" w:color="auto" w:sz="4" w:space="0"/>
            </w:tcBorders>
          </w:tcPr>
          <w:p w14:paraId="33C1A730">
            <w:pPr>
              <w:jc w:val="center"/>
              <w:rPr>
                <w:rFonts w:hint="eastAsia" w:ascii="仿宋" w:hAnsi="仿宋" w:eastAsia="仿宋"/>
                <w:b/>
                <w:sz w:val="32"/>
                <w:szCs w:val="32"/>
                <w:lang w:eastAsia="zh-CN"/>
              </w:rPr>
            </w:pPr>
            <w:r>
              <w:rPr>
                <w:rFonts w:hint="eastAsia" w:ascii="仿宋" w:hAnsi="仿宋" w:eastAsia="仿宋"/>
                <w:b/>
                <w:sz w:val="32"/>
                <w:szCs w:val="32"/>
                <w:lang w:val="en-US" w:eastAsia="zh-CN"/>
              </w:rPr>
              <w:t>数据科学与大数据技术</w:t>
            </w:r>
          </w:p>
        </w:tc>
      </w:tr>
      <w:tr w14:paraId="217E228C">
        <w:tblPrEx>
          <w:tblCellMar>
            <w:top w:w="0" w:type="dxa"/>
            <w:left w:w="108" w:type="dxa"/>
            <w:bottom w:w="0" w:type="dxa"/>
            <w:right w:w="108" w:type="dxa"/>
          </w:tblCellMar>
        </w:tblPrEx>
        <w:trPr>
          <w:trHeight w:val="680" w:hRule="atLeast"/>
          <w:jc w:val="center"/>
        </w:trPr>
        <w:tc>
          <w:tcPr>
            <w:tcW w:w="1943" w:type="dxa"/>
            <w:vAlign w:val="bottom"/>
          </w:tcPr>
          <w:p w14:paraId="1D8CA829">
            <w:pPr>
              <w:jc w:val="center"/>
              <w:rPr>
                <w:rFonts w:eastAsia="仿宋"/>
                <w:b/>
                <w:sz w:val="32"/>
                <w:szCs w:val="32"/>
              </w:rPr>
            </w:pPr>
            <w:r>
              <w:rPr>
                <w:rFonts w:hint="eastAsia" w:eastAsia="仿宋"/>
                <w:b/>
                <w:sz w:val="32"/>
                <w:szCs w:val="32"/>
              </w:rPr>
              <w:t>学  号：</w:t>
            </w:r>
          </w:p>
        </w:tc>
        <w:tc>
          <w:tcPr>
            <w:tcW w:w="6499" w:type="dxa"/>
            <w:tcBorders>
              <w:top w:val="single" w:color="auto" w:sz="4" w:space="0"/>
              <w:bottom w:val="single" w:color="auto" w:sz="4" w:space="0"/>
            </w:tcBorders>
          </w:tcPr>
          <w:p w14:paraId="381BE71D">
            <w:pPr>
              <w:jc w:val="center"/>
              <w:rPr>
                <w:rFonts w:hint="default" w:ascii="仿宋" w:hAnsi="仿宋" w:eastAsia="仿宋"/>
                <w:b/>
                <w:sz w:val="32"/>
                <w:szCs w:val="32"/>
                <w:lang w:val="en-US" w:eastAsia="zh-CN"/>
              </w:rPr>
            </w:pPr>
            <w:r>
              <w:rPr>
                <w:rFonts w:hint="eastAsia" w:ascii="仿宋" w:hAnsi="仿宋" w:eastAsia="仿宋" w:cs="仿宋"/>
                <w:b/>
                <w:color w:val="000000"/>
                <w:sz w:val="32"/>
                <w:szCs w:val="32"/>
              </w:rPr>
              <w:t>2208091010</w:t>
            </w:r>
            <w:r>
              <w:rPr>
                <w:rFonts w:hint="eastAsia" w:ascii="仿宋" w:hAnsi="仿宋" w:eastAsia="仿宋" w:cs="仿宋"/>
                <w:b/>
                <w:color w:val="000000"/>
                <w:sz w:val="32"/>
                <w:szCs w:val="32"/>
                <w:lang w:val="en-US" w:eastAsia="zh-CN"/>
              </w:rPr>
              <w:t>58</w:t>
            </w:r>
          </w:p>
        </w:tc>
      </w:tr>
      <w:tr w14:paraId="1E486C9E">
        <w:tblPrEx>
          <w:tblCellMar>
            <w:top w:w="0" w:type="dxa"/>
            <w:left w:w="108" w:type="dxa"/>
            <w:bottom w:w="0" w:type="dxa"/>
            <w:right w:w="108" w:type="dxa"/>
          </w:tblCellMar>
        </w:tblPrEx>
        <w:trPr>
          <w:trHeight w:val="680" w:hRule="atLeast"/>
          <w:jc w:val="center"/>
        </w:trPr>
        <w:tc>
          <w:tcPr>
            <w:tcW w:w="1943" w:type="dxa"/>
            <w:vAlign w:val="bottom"/>
          </w:tcPr>
          <w:p w14:paraId="7F00149F">
            <w:pPr>
              <w:jc w:val="center"/>
              <w:rPr>
                <w:rFonts w:eastAsia="仿宋"/>
                <w:b/>
                <w:sz w:val="32"/>
                <w:szCs w:val="32"/>
              </w:rPr>
            </w:pPr>
            <w:r>
              <w:rPr>
                <w:rFonts w:hint="eastAsia" w:eastAsia="仿宋"/>
                <w:b/>
                <w:sz w:val="32"/>
                <w:szCs w:val="32"/>
              </w:rPr>
              <w:t>姓  名：</w:t>
            </w:r>
          </w:p>
        </w:tc>
        <w:tc>
          <w:tcPr>
            <w:tcW w:w="6499" w:type="dxa"/>
            <w:tcBorders>
              <w:top w:val="single" w:color="auto" w:sz="4" w:space="0"/>
              <w:bottom w:val="single" w:color="auto" w:sz="4" w:space="0"/>
            </w:tcBorders>
          </w:tcPr>
          <w:p w14:paraId="412407B4">
            <w:pPr>
              <w:jc w:val="center"/>
              <w:rPr>
                <w:rFonts w:hint="eastAsia" w:ascii="仿宋" w:hAnsi="仿宋" w:eastAsia="仿宋"/>
                <w:b/>
                <w:sz w:val="32"/>
                <w:szCs w:val="32"/>
                <w:lang w:val="en-US" w:eastAsia="zh-CN"/>
              </w:rPr>
            </w:pPr>
            <w:r>
              <w:rPr>
                <w:rFonts w:hint="eastAsia" w:ascii="仿宋" w:hAnsi="仿宋" w:eastAsia="仿宋"/>
                <w:b/>
                <w:sz w:val="32"/>
                <w:szCs w:val="32"/>
                <w:lang w:val="en-US" w:eastAsia="zh-CN"/>
              </w:rPr>
              <w:t>白彬瑞</w:t>
            </w:r>
          </w:p>
        </w:tc>
      </w:tr>
      <w:tr w14:paraId="5F1251AF">
        <w:tblPrEx>
          <w:tblCellMar>
            <w:top w:w="0" w:type="dxa"/>
            <w:left w:w="108" w:type="dxa"/>
            <w:bottom w:w="0" w:type="dxa"/>
            <w:right w:w="108" w:type="dxa"/>
          </w:tblCellMar>
        </w:tblPrEx>
        <w:trPr>
          <w:trHeight w:val="680" w:hRule="atLeast"/>
          <w:jc w:val="center"/>
        </w:trPr>
        <w:tc>
          <w:tcPr>
            <w:tcW w:w="1943" w:type="dxa"/>
            <w:vAlign w:val="bottom"/>
          </w:tcPr>
          <w:p w14:paraId="5B7BB646">
            <w:pPr>
              <w:jc w:val="center"/>
              <w:rPr>
                <w:rFonts w:eastAsia="仿宋"/>
                <w:b/>
                <w:sz w:val="32"/>
                <w:szCs w:val="32"/>
              </w:rPr>
            </w:pPr>
            <w:r>
              <w:rPr>
                <w:rFonts w:hint="eastAsia" w:eastAsia="仿宋"/>
                <w:b/>
                <w:sz w:val="32"/>
                <w:szCs w:val="32"/>
              </w:rPr>
              <w:t>导  师：</w:t>
            </w:r>
          </w:p>
        </w:tc>
        <w:tc>
          <w:tcPr>
            <w:tcW w:w="6499" w:type="dxa"/>
            <w:tcBorders>
              <w:top w:val="single" w:color="auto" w:sz="4" w:space="0"/>
              <w:bottom w:val="single" w:color="auto" w:sz="4" w:space="0"/>
            </w:tcBorders>
          </w:tcPr>
          <w:p w14:paraId="340C8335">
            <w:pPr>
              <w:jc w:val="center"/>
              <w:rPr>
                <w:rFonts w:hint="eastAsia" w:ascii="仿宋" w:hAnsi="仿宋" w:eastAsia="仿宋"/>
                <w:b/>
                <w:sz w:val="32"/>
                <w:szCs w:val="32"/>
                <w:lang w:val="en-US" w:eastAsia="zh-CN"/>
              </w:rPr>
            </w:pPr>
            <w:r>
              <w:rPr>
                <w:rFonts w:hint="eastAsia" w:ascii="仿宋" w:hAnsi="仿宋" w:eastAsia="仿宋"/>
                <w:b/>
                <w:sz w:val="32"/>
                <w:szCs w:val="32"/>
                <w:lang w:val="en-US" w:eastAsia="zh-CN"/>
              </w:rPr>
              <w:t>王黎光</w:t>
            </w:r>
          </w:p>
        </w:tc>
      </w:tr>
    </w:tbl>
    <w:p w14:paraId="5CD480B6">
      <w:pPr>
        <w:jc w:val="center"/>
        <w:rPr>
          <w:rFonts w:hint="eastAsia" w:asciiTheme="minorEastAsia" w:hAnsiTheme="minorEastAsia" w:eastAsiaTheme="minorEastAsia" w:cstheme="minorEastAsia"/>
          <w:color w:val="444444"/>
          <w:sz w:val="28"/>
          <w:szCs w:val="28"/>
          <w:shd w:val="clear" w:color="auto" w:fill="FFFFFF"/>
        </w:rPr>
      </w:pPr>
    </w:p>
    <w:p w14:paraId="5F5AB3A9">
      <w:pPr>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444444"/>
          <w:sz w:val="28"/>
          <w:szCs w:val="28"/>
          <w:shd w:val="clear" w:color="auto" w:fill="FFFFFF"/>
        </w:rPr>
        <w:t>202</w:t>
      </w:r>
      <w:r>
        <w:rPr>
          <w:rFonts w:hint="eastAsia" w:asciiTheme="minorEastAsia" w:hAnsiTheme="minorEastAsia" w:eastAsiaTheme="minorEastAsia" w:cstheme="minorEastAsia"/>
          <w:color w:val="444444"/>
          <w:sz w:val="28"/>
          <w:szCs w:val="28"/>
          <w:shd w:val="clear" w:color="auto" w:fill="FFFFFF"/>
          <w:lang w:val="en-US" w:eastAsia="zh-CN"/>
        </w:rPr>
        <w:t>5</w:t>
      </w:r>
      <w:r>
        <w:rPr>
          <w:rFonts w:hint="eastAsia" w:asciiTheme="minorEastAsia" w:hAnsiTheme="minorEastAsia" w:eastAsiaTheme="minorEastAsia" w:cstheme="minorEastAsia"/>
          <w:color w:val="444444"/>
          <w:sz w:val="28"/>
          <w:szCs w:val="28"/>
          <w:shd w:val="clear" w:color="auto" w:fill="FFFFFF"/>
        </w:rPr>
        <w:t>年10月</w:t>
      </w:r>
      <w:r>
        <w:rPr>
          <w:rFonts w:hint="eastAsia" w:asciiTheme="minorEastAsia" w:hAnsiTheme="minorEastAsia" w:eastAsiaTheme="minorEastAsia" w:cstheme="minorEastAsia"/>
          <w:color w:val="444444"/>
          <w:sz w:val="28"/>
          <w:szCs w:val="28"/>
          <w:shd w:val="clear" w:color="auto" w:fill="FFFFFF"/>
          <w:lang w:val="en-US" w:eastAsia="zh-CN"/>
        </w:rPr>
        <w:t>26</w:t>
      </w:r>
      <w:r>
        <w:rPr>
          <w:rFonts w:hint="eastAsia" w:asciiTheme="minorEastAsia" w:hAnsiTheme="minorEastAsia" w:eastAsiaTheme="minorEastAsia" w:cstheme="minorEastAsia"/>
          <w:color w:val="444444"/>
          <w:sz w:val="28"/>
          <w:szCs w:val="28"/>
          <w:shd w:val="clear" w:color="auto" w:fill="FFFFFF"/>
        </w:rPr>
        <w:t>日</w:t>
      </w:r>
    </w:p>
    <w:p w14:paraId="35AB49AA">
      <w:pPr>
        <w:spacing w:after="200" w:line="276" w:lineRule="auto"/>
        <w:ind w:firstLine="198"/>
        <w:rPr>
          <w:rFonts w:hint="eastAsia" w:ascii="宋体" w:hAnsi="宋体"/>
          <w:b/>
          <w:sz w:val="10"/>
          <w:szCs w:val="10"/>
        </w:rPr>
      </w:pPr>
    </w:p>
    <w:p w14:paraId="0735CE7C">
      <w:pPr>
        <w:jc w:val="center"/>
        <w:rPr>
          <w:rFonts w:hint="eastAsia" w:ascii="宋体" w:hAnsi="宋体"/>
          <w:b/>
          <w:sz w:val="30"/>
          <w:szCs w:val="30"/>
        </w:rPr>
      </w:pPr>
      <w:r>
        <w:rPr>
          <w:rFonts w:hint="eastAsia" w:ascii="宋体" w:hAnsi="宋体"/>
          <w:b/>
          <w:sz w:val="30"/>
          <w:szCs w:val="30"/>
        </w:rPr>
        <w:t xml:space="preserve">  </w:t>
      </w:r>
    </w:p>
    <w:p w14:paraId="363F28B7">
      <w:pPr>
        <w:keepNext/>
        <w:keepLines/>
        <w:spacing w:before="156" w:beforeLines="50" w:after="156" w:afterLines="50" w:line="440" w:lineRule="exact"/>
        <w:ind w:firstLine="562" w:firstLineChars="200"/>
        <w:jc w:val="center"/>
        <w:outlineLvl w:val="1"/>
        <w:rPr>
          <w:rFonts w:ascii="Arial" w:hAnsi="Arial" w:eastAsia="黑体"/>
          <w:b/>
          <w:sz w:val="28"/>
          <w:szCs w:val="28"/>
        </w:rPr>
      </w:pPr>
      <w:r>
        <w:rPr>
          <w:rFonts w:hint="eastAsia" w:ascii="Arial" w:hAnsi="Arial" w:eastAsia="黑体"/>
          <w:b/>
          <w:sz w:val="28"/>
          <w:szCs w:val="28"/>
        </w:rPr>
        <w:t>开题报告填表说明</w:t>
      </w:r>
    </w:p>
    <w:p w14:paraId="3009BAC4">
      <w:pPr>
        <w:pStyle w:val="5"/>
        <w:spacing w:line="360" w:lineRule="auto"/>
        <w:ind w:right="101" w:rightChars="42" w:firstLine="560"/>
        <w:rPr>
          <w:rFonts w:hint="default" w:ascii="Times New Roman" w:hAnsi="Times New Roman"/>
          <w:sz w:val="28"/>
          <w:szCs w:val="28"/>
        </w:rPr>
      </w:pPr>
      <w:r>
        <w:rPr>
          <w:rFonts w:hint="default" w:ascii="Times New Roman" w:hAnsi="Times New Roman"/>
          <w:sz w:val="28"/>
          <w:szCs w:val="28"/>
        </w:rPr>
        <w:t>1.开题报告作为毕业设计（论文）答辩委员会对学生答辩资格审查的依据材料之一。此报告应在指导教师指导下，由学生在毕业设计（论文）工作前期内完成，经指导教师签署意见及所在院系审查后生效。</w:t>
      </w:r>
    </w:p>
    <w:p w14:paraId="004EB338">
      <w:pPr>
        <w:pStyle w:val="5"/>
        <w:spacing w:line="360" w:lineRule="auto"/>
        <w:ind w:right="101" w:rightChars="42" w:firstLine="560"/>
        <w:rPr>
          <w:rFonts w:hint="default" w:ascii="Times New Roman" w:hAnsi="Times New Roman"/>
          <w:sz w:val="28"/>
          <w:szCs w:val="28"/>
        </w:rPr>
      </w:pPr>
      <w:r>
        <w:rPr>
          <w:rFonts w:hint="default" w:ascii="Times New Roman" w:hAnsi="Times New Roman"/>
          <w:sz w:val="28"/>
          <w:szCs w:val="28"/>
        </w:rPr>
        <w:t>2.开题报告内容必须按教务处统一设计的电子文档标准格式填写，以A4纸双面打印，字体为小4号宋体，行距22磅。</w:t>
      </w:r>
    </w:p>
    <w:p w14:paraId="663E1FCB">
      <w:pPr>
        <w:pStyle w:val="5"/>
        <w:spacing w:line="360" w:lineRule="auto"/>
        <w:ind w:right="101" w:rightChars="42" w:firstLine="560"/>
        <w:rPr>
          <w:rFonts w:hint="default" w:ascii="Times New Roman" w:hAnsi="Times New Roman"/>
          <w:sz w:val="28"/>
          <w:szCs w:val="28"/>
        </w:rPr>
      </w:pPr>
      <w:r>
        <w:rPr>
          <w:rFonts w:hint="default" w:ascii="Times New Roman" w:hAnsi="Times New Roman"/>
          <w:sz w:val="28"/>
          <w:szCs w:val="28"/>
        </w:rPr>
        <w:t>3.开题报告字数应在1500字以上，参考文献应不少于</w:t>
      </w:r>
      <w:r>
        <w:rPr>
          <w:rFonts w:ascii="Times New Roman" w:hAnsi="Times New Roman"/>
          <w:sz w:val="28"/>
          <w:szCs w:val="28"/>
        </w:rPr>
        <w:t>20</w:t>
      </w:r>
      <w:r>
        <w:rPr>
          <w:rFonts w:hint="default" w:ascii="Times New Roman" w:hAnsi="Times New Roman"/>
          <w:sz w:val="28"/>
          <w:szCs w:val="28"/>
        </w:rPr>
        <w:t>篇（不包括辞典、手册，其中外文文献至少</w:t>
      </w:r>
      <w:r>
        <w:rPr>
          <w:rFonts w:ascii="Times New Roman" w:hAnsi="Times New Roman"/>
          <w:sz w:val="28"/>
          <w:szCs w:val="28"/>
        </w:rPr>
        <w:t>3</w:t>
      </w:r>
      <w:r>
        <w:rPr>
          <w:rFonts w:hint="default" w:ascii="Times New Roman" w:hAnsi="Times New Roman"/>
          <w:sz w:val="28"/>
          <w:szCs w:val="28"/>
        </w:rPr>
        <w:t>篇，汉语国际教育专业不做硬性要求），文中引用参考文献处应标出文献序号，“参考文献”应按照国标GB 7714—</w:t>
      </w:r>
      <w:r>
        <w:rPr>
          <w:rFonts w:ascii="Times New Roman" w:hAnsi="Times New Roman"/>
          <w:sz w:val="28"/>
          <w:szCs w:val="28"/>
        </w:rPr>
        <w:t>2015</w:t>
      </w:r>
      <w:r>
        <w:rPr>
          <w:rFonts w:hint="default" w:ascii="Times New Roman" w:hAnsi="Times New Roman"/>
          <w:sz w:val="28"/>
          <w:szCs w:val="28"/>
        </w:rPr>
        <w:t>《文后参考文献著录规则》的要求书写。</w:t>
      </w:r>
    </w:p>
    <w:p w14:paraId="78568E47">
      <w:pPr>
        <w:pStyle w:val="5"/>
        <w:spacing w:line="360" w:lineRule="auto"/>
        <w:ind w:right="101" w:rightChars="42" w:firstLine="560"/>
        <w:rPr>
          <w:rFonts w:hint="default" w:ascii="Times New Roman" w:hAnsi="Times New Roman"/>
          <w:sz w:val="28"/>
          <w:szCs w:val="28"/>
        </w:rPr>
      </w:pPr>
      <w:r>
        <w:rPr>
          <w:rFonts w:hint="default" w:ascii="Times New Roman" w:hAnsi="Times New Roman"/>
          <w:sz w:val="28"/>
          <w:szCs w:val="28"/>
        </w:rPr>
        <w:t>4.指导教师意见和所在教学单位意见用黑墨水笔书写，并亲笔签名、盖章。</w:t>
      </w:r>
    </w:p>
    <w:p w14:paraId="2B9D38B9">
      <w:pPr>
        <w:pStyle w:val="5"/>
        <w:spacing w:line="360" w:lineRule="auto"/>
        <w:ind w:right="101" w:rightChars="42" w:firstLine="560"/>
        <w:rPr>
          <w:rFonts w:hint="default" w:ascii="Times New Roman" w:hAnsi="Times New Roman"/>
          <w:sz w:val="28"/>
          <w:szCs w:val="28"/>
        </w:rPr>
      </w:pPr>
      <w:r>
        <w:rPr>
          <w:rFonts w:hint="default" w:ascii="Times New Roman" w:hAnsi="Times New Roman"/>
          <w:sz w:val="28"/>
          <w:szCs w:val="28"/>
        </w:rPr>
        <w:t>5.年月日一律用阿拉伯数字书写，例：“2015.11.26”。</w:t>
      </w:r>
    </w:p>
    <w:p w14:paraId="4995DFA8">
      <w:pPr>
        <w:jc w:val="center"/>
        <w:rPr>
          <w:szCs w:val="32"/>
        </w:rPr>
      </w:pPr>
    </w:p>
    <w:p w14:paraId="15B210B1">
      <w:pPr>
        <w:jc w:val="center"/>
        <w:rPr>
          <w:szCs w:val="32"/>
        </w:rPr>
      </w:pPr>
    </w:p>
    <w:p w14:paraId="6B3715EA">
      <w:pPr>
        <w:jc w:val="center"/>
        <w:rPr>
          <w:szCs w:val="32"/>
        </w:rPr>
      </w:pPr>
    </w:p>
    <w:p w14:paraId="3B509404">
      <w:pPr>
        <w:jc w:val="center"/>
        <w:rPr>
          <w:szCs w:val="32"/>
        </w:rPr>
      </w:pPr>
    </w:p>
    <w:p w14:paraId="1D4B2769">
      <w:pPr>
        <w:jc w:val="center"/>
        <w:rPr>
          <w:szCs w:val="32"/>
        </w:rPr>
      </w:pPr>
    </w:p>
    <w:p w14:paraId="6733A555">
      <w:pPr>
        <w:jc w:val="center"/>
        <w:rPr>
          <w:szCs w:val="32"/>
        </w:rPr>
      </w:pPr>
    </w:p>
    <w:p w14:paraId="435AA4F1">
      <w:pPr>
        <w:ind w:firstLine="480" w:firstLineChars="200"/>
        <w:jc w:val="center"/>
        <w:rPr>
          <w:bCs/>
          <w:sz w:val="28"/>
          <w:szCs w:val="28"/>
        </w:rPr>
      </w:pPr>
      <w:r>
        <w:rPr>
          <w:szCs w:val="32"/>
        </w:rPr>
        <w:br w:type="page"/>
      </w:r>
      <w:r>
        <w:rPr>
          <w:rFonts w:ascii="黑体" w:hAnsi="黑体" w:eastAsia="黑体"/>
          <w:bCs/>
          <w:color w:val="000000"/>
          <w:sz w:val="28"/>
          <w:szCs w:val="28"/>
        </w:rPr>
        <w:t>西京学院本科毕业设计(论文)开题报告</w:t>
      </w:r>
    </w:p>
    <w:tbl>
      <w:tblPr>
        <w:tblStyle w:val="10"/>
        <w:tblW w:w="87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41"/>
      </w:tblGrid>
      <w:tr w14:paraId="67A94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8741" w:type="dxa"/>
            <w:tcBorders>
              <w:top w:val="single" w:color="auto" w:sz="8" w:space="0"/>
              <w:left w:val="single" w:color="auto" w:sz="8" w:space="0"/>
              <w:bottom w:val="single" w:color="auto" w:sz="8" w:space="0"/>
              <w:right w:val="single" w:color="auto" w:sz="8" w:space="0"/>
            </w:tcBorders>
            <w:vAlign w:val="center"/>
          </w:tcPr>
          <w:p w14:paraId="07767D15">
            <w:pPr>
              <w:pStyle w:val="5"/>
              <w:numPr>
                <w:ilvl w:val="0"/>
                <w:numId w:val="1"/>
              </w:numPr>
              <w:spacing w:after="0" w:line="300" w:lineRule="exact"/>
              <w:ind w:left="0" w:firstLineChars="0"/>
              <w:jc w:val="left"/>
              <w:rPr>
                <w:sz w:val="24"/>
              </w:rPr>
            </w:pPr>
            <w:r>
              <w:rPr>
                <w:rFonts w:ascii="Times New Roman" w:hAnsi="Times New Roman"/>
                <w:sz w:val="24"/>
              </w:rPr>
              <w:t>1.毕业设计（论文）选题背景、国内外研究现状及应用前景</w:t>
            </w:r>
          </w:p>
        </w:tc>
      </w:tr>
      <w:tr w14:paraId="6AD6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8741" w:type="dxa"/>
            <w:tcBorders>
              <w:top w:val="single" w:color="auto" w:sz="8" w:space="0"/>
              <w:left w:val="single" w:color="auto" w:sz="8" w:space="0"/>
              <w:bottom w:val="single" w:color="auto" w:sz="8" w:space="0"/>
              <w:right w:val="single" w:color="auto" w:sz="8" w:space="0"/>
            </w:tcBorders>
          </w:tcPr>
          <w:p w14:paraId="6F9F0D09">
            <w:pPr>
              <w:pStyle w:val="5"/>
              <w:spacing w:after="0" w:line="440" w:lineRule="exact"/>
              <w:ind w:firstLine="480"/>
              <w:jc w:val="left"/>
              <w:rPr>
                <w:rFonts w:ascii="Times New Roman" w:hAnsi="Times New Roman"/>
                <w:sz w:val="24"/>
              </w:rPr>
            </w:pPr>
            <w:r>
              <w:rPr>
                <w:rFonts w:ascii="Times New Roman" w:hAnsi="Times New Roman"/>
                <w:sz w:val="24"/>
              </w:rPr>
              <w:t>1.1选题背景</w:t>
            </w:r>
          </w:p>
          <w:p w14:paraId="2D532C71">
            <w:pPr>
              <w:bidi w:val="0"/>
            </w:pPr>
            <w:r>
              <w:t>睡眠作为人类生命活动的基础生理过程，其质量直接影响个体身心健康与社会功能。随着现代社会生活节奏加快、工作压力增大及作息模式改变，睡眠障碍已成为全球性公共卫生挑战。据世界卫生组织统计，全球超四分之一人口受各类睡眠问题困扰，其中失眠、睡眠呼吸暂停、嗜睡等疾病的发病率呈逐年上升趋势。长期睡眠障碍不仅会导致日间注意力不集中、工作效率下降，更会诱发心血管疾病、高血压、糖尿病及焦虑症、抑郁症等身心疾病，同时显著增加交通安全事故风险，对公众健康与社会安全构成双重威胁。</w:t>
            </w:r>
          </w:p>
          <w:p w14:paraId="48953D36">
            <w:pPr>
              <w:bidi w:val="0"/>
            </w:pPr>
            <w:r>
              <w:t>近年来，数据挖掘与机器学习技术在医学领域的应用不断深化，为睡眠障碍诊断提供了新的解决方案。通过从体动记录仪、可穿戴设备及睡眠问卷等非侵入性数据中提取特征，结合分类算法构建预测模型，可实现睡眠障碍的快速评估与类型识别。这种方法不仅能降低诊断成本、提升筛查效率，还能通过数据驱动发现潜在病理规律，辅助临床决策。在此背景下，开展 “基于数据挖掘的睡眠障碍分类研究”，对推动睡眠障碍诊断技术革新、提升公共卫生服务水平具有重要的现实意义。</w:t>
            </w:r>
          </w:p>
          <w:p w14:paraId="745E8933">
            <w:pPr>
              <w:spacing w:after="0" w:line="440" w:lineRule="exact"/>
              <w:ind w:firstLine="480"/>
              <w:jc w:val="left"/>
              <w:textAlignment w:val="auto"/>
            </w:pPr>
            <w:r>
              <w:rPr>
                <w:rFonts w:ascii="Times New Roman" w:hAnsi="Times New Roman"/>
                <w:sz w:val="24"/>
              </w:rPr>
              <w:t>1.2国内外研究现状及应用前景</w:t>
            </w:r>
          </w:p>
          <w:p w14:paraId="49586CA8">
            <w:pPr>
              <w:spacing w:after="0" w:line="440" w:lineRule="exact"/>
              <w:ind w:firstLine="480"/>
              <w:jc w:val="left"/>
              <w:textAlignment w:val="auto"/>
            </w:pPr>
            <w:r>
              <w:rPr>
                <w:rFonts w:ascii="Times New Roman" w:hAnsi="Times New Roman"/>
                <w:sz w:val="24"/>
              </w:rPr>
              <w:t>1.2.1国内研究现状：</w:t>
            </w:r>
          </w:p>
          <w:p w14:paraId="669A1645">
            <w:pPr>
              <w:bidi w:val="0"/>
              <w:rPr>
                <w:rFonts w:hint="default"/>
              </w:rPr>
            </w:pPr>
            <w:r>
              <w:rPr>
                <w:rFonts w:hint="default" w:ascii="Times New Roman" w:hAnsi="Times New Roman"/>
                <w:sz w:val="24"/>
                <w:lang w:val="en-US" w:eastAsia="zh-CN"/>
              </w:rPr>
              <w:t>国内相关研究近年来发展迅速，研究重点围绕 “本土化数据构建” 与 “算法适应性优化” 展开</w:t>
            </w:r>
            <w:r>
              <w:rPr>
                <w:rFonts w:hint="eastAsia" w:ascii="Times New Roman" w:hAnsi="Times New Roman"/>
                <w:sz w:val="24"/>
                <w:lang w:val="en-US" w:eastAsia="zh-CN"/>
              </w:rPr>
              <w:t>。</w:t>
            </w:r>
            <w:r>
              <w:rPr>
                <w:rFonts w:hint="default" w:ascii="Times New Roman" w:hAnsi="Times New Roman"/>
                <w:sz w:val="24"/>
              </w:rPr>
              <w:t>本土化数据集建设与特征筛选国内研究多基于本土人群的睡眠监测数据重点探索适合中国人群的睡眠障碍特征指标。算法轻量化与临床适配性研究：</w:t>
            </w:r>
            <w:r>
              <w:rPr>
                <w:rFonts w:hint="default"/>
              </w:rPr>
              <w:t>为满足基层医疗场景需求，国内研究侧重算法的轻量化改造。部分研究机构探索将中医 “睡眠质量评分” 等主观指标量化后融入模型，提升了分类结果与临床诊断的契合度。</w:t>
            </w:r>
          </w:p>
          <w:p w14:paraId="0A9319CA">
            <w:pPr>
              <w:bidi w:val="0"/>
              <w:rPr>
                <w:rFonts w:ascii="Times New Roman" w:hAnsi="Times New Roman"/>
                <w:sz w:val="24"/>
              </w:rPr>
            </w:pPr>
            <w:r>
              <w:rPr>
                <w:rFonts w:ascii="Times New Roman" w:hAnsi="Times New Roman"/>
                <w:sz w:val="24"/>
              </w:rPr>
              <w:t>1.2.2国外研究现状：</w:t>
            </w:r>
          </w:p>
          <w:p w14:paraId="758904C7">
            <w:pPr>
              <w:spacing w:after="0" w:line="440" w:lineRule="exact"/>
              <w:ind w:firstLine="480"/>
              <w:jc w:val="left"/>
              <w:textAlignment w:val="auto"/>
              <w:rPr>
                <w:rFonts w:hint="default" w:ascii="Times New Roman" w:hAnsi="Times New Roman"/>
                <w:sz w:val="24"/>
              </w:rPr>
            </w:pPr>
            <w:r>
              <w:rPr>
                <w:rFonts w:ascii="Segoe UI" w:hAnsi="Segoe UI" w:eastAsia="Segoe UI" w:cs="Segoe UI"/>
                <w:i w:val="0"/>
                <w:iCs w:val="0"/>
                <w:caps w:val="0"/>
                <w:spacing w:val="0"/>
                <w:szCs w:val="24"/>
                <w:shd w:val="clear" w:fill="FFFFFF"/>
              </w:rPr>
              <w:t>国外对数据挖掘在睡眠障碍领域的研究起步较早，技术应用较为成熟，核心研究方向集中于以下两</w:t>
            </w:r>
            <w:r>
              <w:t>方面：多模态数据融合与算法优化</w:t>
            </w:r>
            <w:r>
              <w:rPr>
                <w:rFonts w:hint="default"/>
              </w:rPr>
              <w:t>：研究多采用可穿戴设备采集的生理数据与 PSG 数据结合，构建多模态特征集。</w:t>
            </w:r>
            <w:r>
              <w:t>临床应用场景拓展</w:t>
            </w:r>
            <w:r>
              <w:rPr>
                <w:rFonts w:hint="default"/>
              </w:rPr>
              <w:t>：研究聚焦于特定</w:t>
            </w:r>
            <w:r>
              <w:rPr>
                <w:rFonts w:hint="default" w:ascii="Times New Roman" w:hAnsi="Times New Roman"/>
                <w:sz w:val="24"/>
              </w:rPr>
              <w:t>人群的睡眠障碍筛查</w:t>
            </w:r>
            <w:r>
              <w:rPr>
                <w:rFonts w:hint="eastAsia" w:ascii="Times New Roman" w:hAnsi="Times New Roman"/>
                <w:sz w:val="24"/>
                <w:lang w:eastAsia="zh-CN"/>
              </w:rPr>
              <w:t>。</w:t>
            </w:r>
          </w:p>
          <w:p w14:paraId="3C601F7D">
            <w:pPr>
              <w:bidi w:val="0"/>
              <w:rPr>
                <w:rFonts w:hint="eastAsia"/>
                <w:lang w:eastAsia="zh-CN"/>
              </w:rPr>
            </w:pPr>
            <w:r>
              <w:t>本研究提出的基于数据挖掘的睡眠障碍分类方法，凭借低成本、便捷化、可规模化的特点，在临床诊断、公共卫生筛查、个性化健康管理等领域展现出广阔应用前景</w:t>
            </w:r>
            <w:r>
              <w:rPr>
                <w:rFonts w:hint="eastAsia"/>
                <w:lang w:eastAsia="zh-CN"/>
              </w:rPr>
              <w:t>。</w:t>
            </w:r>
          </w:p>
          <w:p w14:paraId="32A7CFAA">
            <w:pPr>
              <w:bidi w:val="0"/>
              <w:rPr>
                <w:rFonts w:ascii="Times New Roman" w:hAnsi="Times New Roman"/>
                <w:sz w:val="24"/>
              </w:rPr>
            </w:pPr>
            <w:r>
              <w:rPr>
                <w:rFonts w:ascii="Times New Roman" w:hAnsi="Times New Roman"/>
                <w:sz w:val="24"/>
              </w:rPr>
              <w:t>1.3应用前景：</w:t>
            </w:r>
          </w:p>
          <w:p w14:paraId="72815C57">
            <w:pPr>
              <w:spacing w:after="0" w:line="440" w:lineRule="exact"/>
              <w:ind w:firstLine="480" w:firstLineChars="0"/>
              <w:jc w:val="left"/>
              <w:textAlignment w:val="auto"/>
              <w:rPr>
                <w:rFonts w:ascii="Times New Roman" w:hAnsi="Times New Roman"/>
                <w:sz w:val="24"/>
              </w:rPr>
            </w:pPr>
            <w:r>
              <w:rPr>
                <w:rFonts w:ascii="Times New Roman" w:hAnsi="Times New Roman"/>
                <w:sz w:val="24"/>
              </w:rPr>
              <w:t>(1)临床辅助诊断场景</w:t>
            </w:r>
          </w:p>
          <w:p w14:paraId="3B70C868">
            <w:pPr>
              <w:spacing w:after="0" w:line="440" w:lineRule="exact"/>
              <w:ind w:firstLine="480" w:firstLineChars="0"/>
              <w:jc w:val="left"/>
              <w:textAlignment w:val="auto"/>
              <w:rPr>
                <w:rFonts w:ascii="Times New Roman" w:hAnsi="Times New Roman"/>
                <w:sz w:val="24"/>
              </w:rPr>
            </w:pPr>
            <w:r>
              <w:rPr>
                <w:rFonts w:ascii="Times New Roman" w:hAnsi="Times New Roman"/>
                <w:sz w:val="24"/>
              </w:rPr>
              <w:t>可作为 PSG 监测的前置筛查工具，在医院门诊、社区卫生服务中心为疑似患者提供快速初筛。</w:t>
            </w:r>
          </w:p>
          <w:p w14:paraId="5CDE1711">
            <w:pPr>
              <w:spacing w:after="0" w:line="440" w:lineRule="exact"/>
              <w:ind w:firstLine="480" w:firstLineChars="0"/>
              <w:jc w:val="left"/>
              <w:textAlignment w:val="auto"/>
              <w:rPr>
                <w:rFonts w:ascii="Times New Roman" w:hAnsi="Times New Roman"/>
                <w:sz w:val="24"/>
              </w:rPr>
            </w:pPr>
            <w:r>
              <w:rPr>
                <w:rFonts w:ascii="Times New Roman" w:hAnsi="Times New Roman"/>
                <w:sz w:val="24"/>
              </w:rPr>
              <w:t>(2)公共卫生大规模筛查场景</w:t>
            </w:r>
          </w:p>
          <w:p w14:paraId="730C958A">
            <w:pPr>
              <w:spacing w:after="0" w:line="440" w:lineRule="exact"/>
              <w:ind w:firstLine="480" w:firstLineChars="0"/>
              <w:jc w:val="left"/>
              <w:textAlignment w:val="auto"/>
              <w:rPr>
                <w:rFonts w:ascii="Times New Roman" w:hAnsi="Times New Roman"/>
                <w:sz w:val="24"/>
              </w:rPr>
            </w:pPr>
            <w:r>
              <w:rPr>
                <w:rFonts w:ascii="Times New Roman" w:hAnsi="Times New Roman"/>
                <w:sz w:val="24"/>
              </w:rPr>
              <w:t>适用于企业、学校、社区等人群密集场所的睡眠健康普查。通过结合可穿戴设备采集数据，无需专业医疗人员操作，即可实现数千人规模的睡眠障碍快速筛查，为公共卫生部门制定睡眠健康干预策略提供数据支撑，助力睡眠障碍的早期发现与干预。</w:t>
            </w:r>
          </w:p>
          <w:p w14:paraId="28F19A16">
            <w:pPr>
              <w:spacing w:after="0" w:line="440" w:lineRule="exact"/>
              <w:ind w:firstLine="480" w:firstLineChars="0"/>
              <w:jc w:val="left"/>
              <w:textAlignment w:val="auto"/>
              <w:rPr>
                <w:rFonts w:ascii="Times New Roman" w:hAnsi="Times New Roman"/>
                <w:sz w:val="24"/>
              </w:rPr>
            </w:pPr>
            <w:r>
              <w:rPr>
                <w:rFonts w:ascii="Times New Roman" w:hAnsi="Times New Roman"/>
                <w:sz w:val="24"/>
              </w:rPr>
              <w:t>(3)个性化睡眠健康管理场景</w:t>
            </w:r>
          </w:p>
          <w:p w14:paraId="1CC63B30">
            <w:pPr>
              <w:spacing w:after="0" w:line="440" w:lineRule="exact"/>
              <w:ind w:firstLine="480" w:firstLineChars="0"/>
              <w:jc w:val="left"/>
              <w:textAlignment w:val="auto"/>
              <w:rPr>
                <w:rFonts w:hint="eastAsia" w:ascii="Times New Roman" w:hAnsi="Times New Roman"/>
                <w:sz w:val="24"/>
                <w:lang w:eastAsia="zh-CN"/>
              </w:rPr>
            </w:pPr>
            <w:r>
              <w:rPr>
                <w:rFonts w:ascii="Times New Roman" w:hAnsi="Times New Roman"/>
                <w:sz w:val="24"/>
              </w:rPr>
              <w:t>可嵌入消费级健康管理 APP 或智能设备，为普通用户提供个性化睡眠健康评估。用户通过 APP 记录睡眠日志、同步运动与心率数据，模型可实时分析其睡眠状态，预警潜在睡眠障碍风险，并结合分析结果推送睡眠改善建议，推动睡眠健康管理从 “疾病治疗” 向 “预防干预” 转变。</w:t>
            </w:r>
          </w:p>
        </w:tc>
      </w:tr>
      <w:tr w14:paraId="3FB1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8741" w:type="dxa"/>
            <w:tcBorders>
              <w:top w:val="single" w:color="auto" w:sz="8" w:space="0"/>
              <w:left w:val="single" w:color="auto" w:sz="8" w:space="0"/>
              <w:bottom w:val="single" w:color="auto" w:sz="8" w:space="0"/>
              <w:right w:val="single" w:color="auto" w:sz="8" w:space="0"/>
            </w:tcBorders>
          </w:tcPr>
          <w:p w14:paraId="43D0E36D">
            <w:pPr>
              <w:pStyle w:val="5"/>
              <w:spacing w:line="440" w:lineRule="exact"/>
              <w:ind w:firstLine="0" w:firstLineChars="0"/>
              <w:jc w:val="left"/>
              <w:rPr>
                <w:sz w:val="24"/>
              </w:rPr>
            </w:pPr>
            <w:r>
              <w:rPr>
                <w:rFonts w:ascii="Times New Roman" w:hAnsi="Times New Roman"/>
                <w:sz w:val="24"/>
              </w:rPr>
              <w:t>2.本选题研究的主要内容、拟采用的研究方法和手段</w:t>
            </w:r>
          </w:p>
        </w:tc>
      </w:tr>
      <w:tr w14:paraId="6E36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7" w:hRule="atLeast"/>
          <w:jc w:val="center"/>
        </w:trPr>
        <w:tc>
          <w:tcPr>
            <w:tcW w:w="8741" w:type="dxa"/>
            <w:tcBorders>
              <w:top w:val="single" w:color="auto" w:sz="8" w:space="0"/>
              <w:left w:val="single" w:color="auto" w:sz="8" w:space="0"/>
              <w:bottom w:val="single" w:color="auto" w:sz="4" w:space="0"/>
              <w:right w:val="single" w:color="auto" w:sz="8" w:space="0"/>
            </w:tcBorders>
          </w:tcPr>
          <w:p w14:paraId="371D2BD4">
            <w:pPr>
              <w:bidi w:val="0"/>
            </w:pPr>
            <w:r>
              <w:t>2.1主要内容</w:t>
            </w:r>
          </w:p>
          <w:p w14:paraId="38804E33">
            <w:pPr>
              <w:bidi w:val="0"/>
            </w:pPr>
            <w:r>
              <w:rPr>
                <w:rFonts w:hint="default"/>
                <w:lang w:val="en-US" w:eastAsia="zh-CN"/>
              </w:rPr>
              <w:t>本研究围绕 “睡眠障碍分类模型的构建与验证” 展开，具体研究内容分为四部分：</w:t>
            </w:r>
          </w:p>
          <w:p w14:paraId="27DAD498">
            <w:pPr>
              <w:bidi w:val="0"/>
            </w:pPr>
            <w:r>
              <w:rPr>
                <w:rFonts w:ascii="Times New Roman" w:hAnsi="Times New Roman"/>
                <w:sz w:val="24"/>
              </w:rPr>
              <w:t>（1）</w:t>
            </w:r>
            <w:r>
              <w:rPr>
                <w:rFonts w:hint="default"/>
              </w:rPr>
              <w:t>睡眠障碍分类特征体系构建：通过文献研读与临床调研，梳理睡眠障碍的医学诊断标准，确定影响睡眠障碍分类的关键特征指标。从生理指标、行为指标、主观指标三个维度筛选特征，构建涵盖 12-15 项指标的睡眠障碍分类特征体系，并通过相关性分析、特征重要性评估</w:t>
            </w:r>
            <w:r>
              <w:rPr>
                <w:rFonts w:hint="eastAsia"/>
                <w:lang w:eastAsia="zh-CN"/>
              </w:rPr>
              <w:t>，</w:t>
            </w:r>
            <w:r>
              <w:rPr>
                <w:rFonts w:hint="default"/>
              </w:rPr>
              <w:t>剔除冗余特征，形成最终的模型输入特征集。</w:t>
            </w:r>
          </w:p>
          <w:p w14:paraId="586AE9F2">
            <w:pPr>
              <w:bidi w:val="0"/>
            </w:pPr>
            <w:r>
              <w:rPr>
                <w:rFonts w:ascii="Times New Roman" w:hAnsi="Times New Roman"/>
                <w:sz w:val="24"/>
              </w:rPr>
              <w:t>（</w:t>
            </w:r>
            <w:r>
              <w:rPr>
                <w:rFonts w:hint="eastAsia"/>
                <w:sz w:val="24"/>
                <w:lang w:val="en-US" w:eastAsia="zh-CN"/>
              </w:rPr>
              <w:t>2</w:t>
            </w:r>
            <w:r>
              <w:rPr>
                <w:rFonts w:ascii="Times New Roman" w:hAnsi="Times New Roman"/>
                <w:sz w:val="24"/>
              </w:rPr>
              <w:t>）</w:t>
            </w:r>
            <w:r>
              <w:rPr>
                <w:rFonts w:hint="default"/>
              </w:rPr>
              <w:t>睡眠障碍分类模型设计与优化：基于筛选后的特征集，构建多算法融合的睡眠障碍分类模型。选取随机森林、支持向量机、梯度提升树三种经典分类算法作为基础模型，通过对比不同算法在训练集上的分类性能，确定最优基础算法；在此基础上，采用集成学习方法融合多种算法优势，优化模型对不同类型睡眠障碍的分类能力，重点提升对小样本睡眠障碍类型的识别准确率。</w:t>
            </w:r>
          </w:p>
          <w:p w14:paraId="52A14706">
            <w:pPr>
              <w:bidi w:val="0"/>
            </w:pPr>
            <w:r>
              <w:rPr>
                <w:rFonts w:ascii="Times New Roman" w:hAnsi="Times New Roman"/>
                <w:sz w:val="24"/>
              </w:rPr>
              <w:t>（</w:t>
            </w:r>
            <w:r>
              <w:rPr>
                <w:rFonts w:hint="eastAsia"/>
                <w:sz w:val="24"/>
                <w:lang w:val="en-US" w:eastAsia="zh-CN"/>
              </w:rPr>
              <w:t>3</w:t>
            </w:r>
            <w:r>
              <w:rPr>
                <w:rFonts w:ascii="Times New Roman" w:hAnsi="Times New Roman"/>
                <w:sz w:val="24"/>
              </w:rPr>
              <w:t>）</w:t>
            </w:r>
            <w:r>
              <w:rPr>
                <w:rFonts w:hint="default"/>
              </w:rPr>
              <w:t>数据预处理与模型训练：收集睡眠障碍患者与健康人群的数据集，构建训练集与测试集。对数据进行预处理</w:t>
            </w:r>
            <w:r>
              <w:rPr>
                <w:rFonts w:hint="eastAsia"/>
                <w:lang w:eastAsia="zh-CN"/>
              </w:rPr>
              <w:t>；</w:t>
            </w:r>
            <w:r>
              <w:rPr>
                <w:rFonts w:hint="default"/>
              </w:rPr>
              <w:t>通过均值填充、插值法处理缺失值；使用训练集对构建的分类模型进行训练，提升模型稳定性。</w:t>
            </w:r>
          </w:p>
          <w:p w14:paraId="47BD2A1A">
            <w:pPr>
              <w:bidi w:val="0"/>
            </w:pPr>
            <w:r>
              <w:rPr>
                <w:rFonts w:ascii="Times New Roman" w:hAnsi="Times New Roman"/>
                <w:sz w:val="24"/>
              </w:rPr>
              <w:t>（</w:t>
            </w:r>
            <w:r>
              <w:rPr>
                <w:rFonts w:hint="eastAsia"/>
                <w:sz w:val="24"/>
                <w:lang w:val="en-US" w:eastAsia="zh-CN"/>
              </w:rPr>
              <w:t>4</w:t>
            </w:r>
            <w:r>
              <w:rPr>
                <w:rFonts w:ascii="Times New Roman" w:hAnsi="Times New Roman"/>
                <w:sz w:val="24"/>
              </w:rPr>
              <w:t>）</w:t>
            </w:r>
            <w:r>
              <w:rPr>
                <w:rFonts w:hint="default"/>
              </w:rPr>
              <w:t>模型性能验证与可视化分析：采用测试集对优化后的模型进行性能验证，针对不同睡眠障碍类型分别分析模型分类效果，定位模型性能薄弱环节；通过混淆矩阵、特征重要性热力图、ROC 曲线等方式可视化展示验证结果，直观呈现模型分类性能及各特征对分类结果的影响程度。</w:t>
            </w:r>
          </w:p>
          <w:p w14:paraId="3A509B88">
            <w:pPr>
              <w:bidi w:val="0"/>
            </w:pPr>
            <w:r>
              <w:t>2.2拟采用的研究方法和手段</w:t>
            </w:r>
          </w:p>
          <w:p w14:paraId="0DB5E4EB">
            <w:pPr>
              <w:bidi w:val="0"/>
            </w:pPr>
            <w:r>
              <w:rPr>
                <w:rFonts w:hint="default"/>
                <w:lang w:val="en-US" w:eastAsia="zh-CN"/>
              </w:rPr>
              <w:t>本研究采用 “理论分析 - 实验验证” 相结合的研究方法，具体手段如下：</w:t>
            </w:r>
          </w:p>
          <w:p w14:paraId="320068EB">
            <w:pPr>
              <w:bidi w:val="0"/>
              <w:rPr>
                <w:rFonts w:hint="default"/>
              </w:rPr>
            </w:pPr>
            <w:r>
              <w:rPr>
                <w:rFonts w:hint="default"/>
              </w:rPr>
              <w:t>2.2.1 理论研究方法</w:t>
            </w:r>
          </w:p>
          <w:p w14:paraId="4ED897D4">
            <w:pPr>
              <w:bidi w:val="0"/>
            </w:pPr>
            <w:r>
              <w:rPr>
                <w:rFonts w:hint="default"/>
              </w:rPr>
              <w:t>文献研究法：通过中国知网（CNKI）、PubMed、Web of Science 等数据库，检索 “睡眠障碍分类”“数据挖掘 医学诊断”“机器学习 睡眠监测” 等关键词相关文献，系统梳理睡眠障碍的医学诊断标准、数据挖掘分类算法的原理及应用现状，形成文献综述，为特征筛选与模型设计提供理论依据。</w:t>
            </w:r>
          </w:p>
          <w:p w14:paraId="7788DD56">
            <w:pPr>
              <w:bidi w:val="0"/>
            </w:pPr>
            <w:r>
              <w:rPr>
                <w:rFonts w:hint="default"/>
              </w:rPr>
              <w:t>比较分析法：对比不同分类算法的原理、适用场景及优缺点，结合睡眠障碍数据的特征，确定适合本研究的基础算法；对比现有睡眠障碍分类模型的特征选择方法、性能指标，明确本研究的改进方向。</w:t>
            </w:r>
          </w:p>
          <w:p w14:paraId="344548BF">
            <w:pPr>
              <w:bidi w:val="0"/>
              <w:rPr>
                <w:rFonts w:hint="default"/>
              </w:rPr>
            </w:pPr>
            <w:r>
              <w:rPr>
                <w:rFonts w:hint="default"/>
              </w:rPr>
              <w:t>2.2.2 实验研究方法</w:t>
            </w:r>
          </w:p>
          <w:p w14:paraId="00343C0E">
            <w:pPr>
              <w:bidi w:val="0"/>
            </w:pPr>
            <w:r>
              <w:rPr>
                <w:rFonts w:hint="default"/>
              </w:rPr>
              <w:t>数据采集与处理：数据来源于两部分，一是合作医院提供的睡眠障碍患者 PSG 监测数据及临床诊断记录，二是通过可穿戴设备采集的健康人群睡眠数据及睡眠问卷数据。使用 Python 语言（Pandas 库、NumPy 库）对数据进行清洗、缺失值填充、标准化处理，构建训练集与测试集。</w:t>
            </w:r>
          </w:p>
          <w:p w14:paraId="7D582A43">
            <w:pPr>
              <w:bidi w:val="0"/>
            </w:pPr>
            <w:r>
              <w:rPr>
                <w:rFonts w:hint="default"/>
              </w:rPr>
              <w:t>模型构建与训练：基于 Python 的 Scikit-learn 库、XGBoost 库实现随机森林、SVM、XGBoost 及集成学习模型的构建与训练。通过网格搜索与 5 折交叉验证优化模型参数。</w:t>
            </w:r>
          </w:p>
          <w:p w14:paraId="407BF36F">
            <w:pPr>
              <w:bidi w:val="0"/>
              <w:rPr>
                <w:sz w:val="24"/>
              </w:rPr>
            </w:pPr>
            <w:r>
              <w:rPr>
                <w:rFonts w:hint="default"/>
              </w:rPr>
              <w:t>性能验证与可视化：采用准确率、精确率、召回率、F1 值、AUC 作为模型性能评估指标，使用 Scikit-learn 库计算各项指标；通过 Matplotlib 库、Seaborn 库绘制混淆矩阵、ROC 曲线、特征重要性柱状图，直观展示模型分类结果及特征贡献度，验证模型的有效性与实用性。</w:t>
            </w:r>
          </w:p>
        </w:tc>
      </w:tr>
      <w:tr w14:paraId="09A2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8741" w:type="dxa"/>
            <w:tcBorders>
              <w:top w:val="single" w:color="auto" w:sz="4" w:space="0"/>
              <w:left w:val="single" w:color="auto" w:sz="8" w:space="0"/>
              <w:bottom w:val="single" w:color="auto" w:sz="4" w:space="0"/>
              <w:right w:val="single" w:color="auto" w:sz="8" w:space="0"/>
            </w:tcBorders>
          </w:tcPr>
          <w:p w14:paraId="4837396B">
            <w:pPr>
              <w:pStyle w:val="5"/>
              <w:spacing w:line="440" w:lineRule="exact"/>
              <w:ind w:firstLine="0" w:firstLineChars="0"/>
              <w:jc w:val="left"/>
              <w:rPr>
                <w:sz w:val="24"/>
              </w:rPr>
            </w:pPr>
            <w:r>
              <w:rPr>
                <w:rFonts w:ascii="Times New Roman" w:hAnsi="Times New Roman"/>
                <w:sz w:val="24"/>
              </w:rPr>
              <w:t>3.本选题的创新点、特色及前期研究基础</w:t>
            </w:r>
          </w:p>
        </w:tc>
      </w:tr>
      <w:tr w14:paraId="302E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9" w:hRule="atLeast"/>
          <w:jc w:val="center"/>
        </w:trPr>
        <w:tc>
          <w:tcPr>
            <w:tcW w:w="8741" w:type="dxa"/>
            <w:tcBorders>
              <w:top w:val="single" w:color="auto" w:sz="4" w:space="0"/>
              <w:left w:val="single" w:color="auto" w:sz="8" w:space="0"/>
              <w:bottom w:val="single" w:color="auto" w:sz="8" w:space="0"/>
              <w:right w:val="single" w:color="auto" w:sz="8" w:space="0"/>
            </w:tcBorders>
          </w:tcPr>
          <w:p w14:paraId="3878EEE1">
            <w:pPr>
              <w:bidi w:val="0"/>
              <w:rPr>
                <w:rFonts w:ascii="Times New Roman" w:hAnsi="Times New Roman"/>
                <w:sz w:val="24"/>
              </w:rPr>
            </w:pPr>
            <w:r>
              <w:rPr>
                <w:rFonts w:hint="default"/>
              </w:rPr>
              <w:t xml:space="preserve">3.1 </w:t>
            </w:r>
            <w:r>
              <w:rPr>
                <w:rFonts w:ascii="Times New Roman" w:hAnsi="Times New Roman"/>
                <w:sz w:val="24"/>
              </w:rPr>
              <w:t>本选题创新点</w:t>
            </w:r>
          </w:p>
          <w:p w14:paraId="34EE88C4">
            <w:pPr>
              <w:bidi w:val="0"/>
            </w:pPr>
            <w:r>
              <w:rPr>
                <w:rFonts w:hint="default"/>
              </w:rPr>
              <w:t>多维度非侵入性特征体系的构建：区别于现有研究多依赖 PSG 或单一设备数据，本研究从生理、行为、主观三个维度筛选睡眠障碍特征，融合可穿戴设备数据、睡眠日志及压力评分等非侵入性指标，构建更全面的特征体系，既降低了数据采集成本，又提升了特征与睡眠障碍类型的关联性。</w:t>
            </w:r>
          </w:p>
          <w:p w14:paraId="69B53D56">
            <w:pPr>
              <w:bidi w:val="0"/>
            </w:pPr>
            <w:r>
              <w:rPr>
                <w:rFonts w:hint="default"/>
              </w:rPr>
              <w:t>面向小样本类型的集成分类模型优化：针对现有模型对小样本睡眠障碍类型识别准确率低的问题，本研究采用集成学习融合随机森林、XGBoost 等算法优势，通过对小样本数据进行过采样处理与权重调整，提升模型对小众睡眠障碍类型的分类性能，增强了模型的临床适用性。</w:t>
            </w:r>
          </w:p>
          <w:p w14:paraId="52C3B2C6">
            <w:pPr>
              <w:bidi w:val="0"/>
              <w:rPr>
                <w:rFonts w:hint="default"/>
              </w:rPr>
            </w:pPr>
            <w:r>
              <w:rPr>
                <w:rFonts w:hint="default"/>
              </w:rPr>
              <w:t>兼顾临床与公共卫生场景的实用化设计：研究不仅关注模型的分类精度，还通过特征筛选简化输入指标、优化算法运行效率，使模型既能满足医院临床初筛需求，又能适配可穿戴设备、健康 APP 等公共卫生筛查场景，提升了研究成果的落地性。</w:t>
            </w:r>
          </w:p>
          <w:p w14:paraId="62E9952D">
            <w:pPr>
              <w:bidi w:val="0"/>
              <w:rPr>
                <w:rFonts w:hint="default"/>
              </w:rPr>
            </w:pPr>
            <w:r>
              <w:rPr>
                <w:rFonts w:hint="default"/>
              </w:rPr>
              <w:t xml:space="preserve">3.2 </w:t>
            </w:r>
            <w:r>
              <w:rPr>
                <w:rFonts w:hint="eastAsia"/>
                <w:lang w:val="en-US" w:eastAsia="zh-CN"/>
              </w:rPr>
              <w:t>前期</w:t>
            </w:r>
            <w:r>
              <w:rPr>
                <w:rFonts w:hint="default"/>
              </w:rPr>
              <w:t>研究基础</w:t>
            </w:r>
          </w:p>
          <w:p w14:paraId="2A99F8C5">
            <w:pPr>
              <w:bidi w:val="0"/>
              <w:rPr>
                <w:rFonts w:hint="default"/>
              </w:rPr>
            </w:pPr>
            <w:r>
              <w:rPr>
                <w:rFonts w:hint="default"/>
              </w:rPr>
              <w:t>3.2.1 理论基础</w:t>
            </w:r>
          </w:p>
          <w:p w14:paraId="7CAC4559">
            <w:pPr>
              <w:bidi w:val="0"/>
              <w:rPr>
                <w:rFonts w:hint="default"/>
              </w:rPr>
            </w:pPr>
            <w:r>
              <w:rPr>
                <w:rFonts w:ascii="Times New Roman" w:hAnsi="Times New Roman"/>
                <w:sz w:val="24"/>
              </w:rPr>
              <w:t>通过查询并学习相关文献资料，了解理论基础，结合大学期间所学的</w:t>
            </w:r>
            <w:r>
              <w:rPr>
                <w:rFonts w:hint="default"/>
                <w:lang w:val="en-US" w:eastAsia="zh-CN"/>
              </w:rPr>
              <w:t>《</w:t>
            </w:r>
            <w:r>
              <w:rPr>
                <w:rFonts w:hint="eastAsia"/>
                <w:lang w:val="en-US" w:eastAsia="zh-CN"/>
              </w:rPr>
              <w:t>数据挖掘</w:t>
            </w:r>
            <w:r>
              <w:rPr>
                <w:rFonts w:hint="default"/>
                <w:lang w:val="en-US" w:eastAsia="zh-CN"/>
              </w:rPr>
              <w:t>》《数据挖掘导论》《机器学习》等专业书籍，掌握睡眠障碍的分类标准、诊断原理及数据挖掘分类算法的核心原理；通过检索 PubMed、CNKI 等数据库，梳理了数据挖掘在睡眠障碍领域的研究现状、技术路线及不足，形成了研究的整体框架；已掌握 Python 编程及 Scikit-learn、XGBoost 等机器学习库的使用方法，具备独立完成模型构建与数据分析的理论能力。</w:t>
            </w:r>
          </w:p>
          <w:p w14:paraId="7327736C">
            <w:pPr>
              <w:bidi w:val="0"/>
              <w:rPr>
                <w:rFonts w:hint="default"/>
              </w:rPr>
            </w:pPr>
            <w:r>
              <w:rPr>
                <w:rFonts w:hint="default"/>
              </w:rPr>
              <w:t>3.2.2 数据基础</w:t>
            </w:r>
          </w:p>
          <w:p w14:paraId="32BF2324">
            <w:pPr>
              <w:bidi w:val="0"/>
              <w:rPr>
                <w:rFonts w:hint="default"/>
              </w:rPr>
            </w:pPr>
            <w:r>
              <w:rPr>
                <w:rFonts w:hint="default"/>
                <w:lang w:val="en-US" w:eastAsia="zh-CN"/>
              </w:rPr>
              <w:t>依托课题来源（教师科研项目 “数据挖掘技术在医学领域应用研究”），已获取睡眠障碍患者数据，涵盖失眠、睡眠呼吸暂停、嗜睡等主要睡眠障碍类型；同时通过可穿戴设备采集健康人群睡眠数据，通过睡眠质量问卷收集主观数据，已构建包含 1000 例样本的初始数据集，为模型训练与验证提供了数据支撑。</w:t>
            </w:r>
          </w:p>
          <w:p w14:paraId="68E494F6">
            <w:pPr>
              <w:bidi w:val="0"/>
              <w:rPr>
                <w:rFonts w:hint="default"/>
              </w:rPr>
            </w:pPr>
            <w:r>
              <w:rPr>
                <w:rFonts w:hint="default"/>
              </w:rPr>
              <w:t>3.2.3 技术基础</w:t>
            </w:r>
          </w:p>
          <w:p w14:paraId="65595C16">
            <w:pPr>
              <w:bidi w:val="0"/>
              <w:rPr>
                <w:sz w:val="24"/>
              </w:rPr>
            </w:pPr>
            <w:r>
              <w:rPr>
                <w:rFonts w:hint="default"/>
                <w:lang w:val="en-US" w:eastAsia="zh-CN"/>
              </w:rPr>
              <w:t>已搭建完成实验所需的软硬件环境：硬件方面，配备高性能计算机（CPU i7-12700H，GPU RTX 3060），可满足模型训练与仿真需求；软件方面，已安装 Python 3.9 及 XGBoost、Matplotlib 等相关库，掌握数据预处理、模型构建、性能评估及可视化的全流程技术；已完成前期预实验，通过小样本数据验证了随机森林、SVM 算法在睡眠障碍分类中的可行性，为后续研究奠定了技术基础。</w:t>
            </w:r>
          </w:p>
        </w:tc>
      </w:tr>
      <w:tr w14:paraId="2C22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8741" w:type="dxa"/>
            <w:tcBorders>
              <w:top w:val="single" w:color="auto" w:sz="8" w:space="0"/>
              <w:left w:val="single" w:color="auto" w:sz="8" w:space="0"/>
              <w:bottom w:val="single" w:color="auto" w:sz="8" w:space="0"/>
              <w:right w:val="single" w:color="auto" w:sz="8" w:space="0"/>
            </w:tcBorders>
            <w:vAlign w:val="center"/>
          </w:tcPr>
          <w:p w14:paraId="06CE1C59">
            <w:pPr>
              <w:pStyle w:val="5"/>
              <w:spacing w:line="440" w:lineRule="exact"/>
              <w:ind w:firstLine="0" w:firstLineChars="0"/>
              <w:rPr>
                <w:sz w:val="24"/>
              </w:rPr>
            </w:pPr>
            <w:r>
              <w:rPr>
                <w:sz w:val="24"/>
              </w:rPr>
              <w:t>4.毕业设计（论文）进度安排</w:t>
            </w:r>
          </w:p>
        </w:tc>
      </w:tr>
      <w:tr w14:paraId="2D1C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jc w:val="center"/>
        </w:trPr>
        <w:tc>
          <w:tcPr>
            <w:tcW w:w="8741" w:type="dxa"/>
            <w:tcBorders>
              <w:top w:val="single" w:color="auto" w:sz="8" w:space="0"/>
              <w:left w:val="single" w:color="auto" w:sz="8" w:space="0"/>
              <w:bottom w:val="single" w:color="auto" w:sz="8" w:space="0"/>
              <w:right w:val="single" w:color="auto" w:sz="8" w:space="0"/>
            </w:tcBorders>
          </w:tcPr>
          <w:p w14:paraId="352CB241">
            <w:pPr>
              <w:spacing w:line="440" w:lineRule="atLeas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2024.9.23-2024.10.20（4周）：学生根据毕业设计任务书要求，查询相关资料，完成毕业设计开题报告。</w:t>
            </w:r>
          </w:p>
          <w:p w14:paraId="0EBF3DB6">
            <w:pPr>
              <w:spacing w:line="440" w:lineRule="atLeas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2024.10.21-2024.12.25（6-8周）：学生整理消化资料，明确设计任务与设计思路，熟悉开发环境和编程方法，依据的功能需求，提出系统实现的架构，完成系统概要设计、详细设计、数据库设计，完成系统的编程与测试。指导教师于12月15日前完成对学生毕业设计工作的中期检查；学生于2024年12月25日前提交毕业设计初稿。</w:t>
            </w:r>
          </w:p>
          <w:p w14:paraId="59AF1747">
            <w:pPr>
              <w:spacing w:line="440" w:lineRule="atLeast"/>
              <w:ind w:firstLine="480" w:firstLineChars="200"/>
              <w:rPr>
                <w:sz w:val="24"/>
              </w:rPr>
            </w:pPr>
            <w:r>
              <w:rPr>
                <w:rFonts w:hint="eastAsia" w:asciiTheme="minorEastAsia" w:hAnsiTheme="minorEastAsia" w:eastAsiaTheme="minorEastAsia"/>
                <w:sz w:val="24"/>
              </w:rPr>
              <w:t>2025.2.24-2025.3.23（4周）：指导教师审阅论文初稿并提出修改意见，学生完成系统的进一步测试与改进，并根据指导教师提出的修改意见进行毕业设计论文。修改于3月23日前提交毕业设计终稿，准备论文答辩。</w:t>
            </w:r>
          </w:p>
        </w:tc>
      </w:tr>
      <w:tr w14:paraId="1AE4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8741" w:type="dxa"/>
            <w:tcBorders>
              <w:top w:val="single" w:color="auto" w:sz="8" w:space="0"/>
              <w:left w:val="single" w:color="auto" w:sz="8" w:space="0"/>
              <w:bottom w:val="single" w:color="auto" w:sz="4" w:space="0"/>
              <w:right w:val="single" w:color="auto" w:sz="8" w:space="0"/>
            </w:tcBorders>
          </w:tcPr>
          <w:p w14:paraId="48C078BA">
            <w:pPr>
              <w:pStyle w:val="5"/>
              <w:spacing w:line="440" w:lineRule="exact"/>
              <w:ind w:firstLine="0" w:firstLineChars="0"/>
              <w:jc w:val="left"/>
              <w:rPr>
                <w:sz w:val="24"/>
              </w:rPr>
            </w:pPr>
            <w:r>
              <w:rPr>
                <w:sz w:val="24"/>
              </w:rPr>
              <w:t>5.参考文献（不少于20篇，其中外文参考文献不少于3篇）</w:t>
            </w:r>
          </w:p>
        </w:tc>
      </w:tr>
      <w:tr w14:paraId="2017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9" w:hRule="atLeast"/>
          <w:jc w:val="center"/>
        </w:trPr>
        <w:tc>
          <w:tcPr>
            <w:tcW w:w="8741" w:type="dxa"/>
            <w:tcBorders>
              <w:top w:val="single" w:color="auto" w:sz="4" w:space="0"/>
              <w:left w:val="single" w:color="auto" w:sz="8" w:space="0"/>
              <w:bottom w:val="single" w:color="auto" w:sz="8" w:space="0"/>
              <w:right w:val="single" w:color="auto" w:sz="8" w:space="0"/>
            </w:tcBorders>
          </w:tcPr>
          <w:p w14:paraId="0AE1A562">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[1]郭晓阳.基于YOLOv7的火焰目标检测的改进与应用[D].大连交通大学,2025.DOI:10.26990/d.cnki.gsltc.2025.000729.</w:t>
            </w:r>
          </w:p>
          <w:p w14:paraId="0D9245D8">
            <w:pPr>
              <w:spacing w:line="440" w:lineRule="atLeast"/>
              <w:rPr>
                <w:rFonts w:asciiTheme="minorEastAsia" w:hAnsiTheme="minorEastAsia" w:eastAsiaTheme="minorEastAsia"/>
                <w:sz w:val="24"/>
              </w:rPr>
            </w:pPr>
            <w:r>
              <w:rPr>
                <w:rFonts w:hint="eastAsia" w:asciiTheme="minorEastAsia" w:hAnsiTheme="minorEastAsia" w:eastAsiaTheme="minorEastAsia"/>
                <w:sz w:val="24"/>
              </w:rPr>
              <w:t>[2]王馨霓.基于深度学习的火灾检测方法研究[D].大连交通大学,2025.DOI:10.26990/d.cnki.gsltc.2025.000996.</w:t>
            </w:r>
          </w:p>
          <w:p w14:paraId="3F8E2D82">
            <w:pPr>
              <w:spacing w:line="440" w:lineRule="atLeast"/>
              <w:rPr>
                <w:rFonts w:asciiTheme="minorEastAsia" w:hAnsiTheme="minorEastAsia" w:eastAsiaTheme="minorEastAsia"/>
                <w:sz w:val="24"/>
              </w:rPr>
            </w:pPr>
            <w:r>
              <w:rPr>
                <w:rFonts w:hint="eastAsia" w:asciiTheme="minorEastAsia" w:hAnsiTheme="minorEastAsia" w:eastAsiaTheme="minorEastAsia"/>
                <w:sz w:val="24"/>
              </w:rPr>
              <w:t>[3]刘晓倩.基于无人机影像的早期林火检测算法研究[D].华北科技学院,2025.DOI:10.27861/d.cnki.gnckj.2025.000064.</w:t>
            </w:r>
          </w:p>
          <w:p w14:paraId="4C74BD5A">
            <w:pPr>
              <w:spacing w:line="440" w:lineRule="atLeast"/>
              <w:rPr>
                <w:rFonts w:asciiTheme="minorEastAsia" w:hAnsiTheme="minorEastAsia" w:eastAsiaTheme="minorEastAsia"/>
                <w:sz w:val="24"/>
              </w:rPr>
            </w:pPr>
            <w:r>
              <w:rPr>
                <w:rFonts w:hint="eastAsia" w:asciiTheme="minorEastAsia" w:hAnsiTheme="minorEastAsia" w:eastAsiaTheme="minorEastAsia"/>
                <w:sz w:val="24"/>
              </w:rPr>
              <w:t>[4]韩祥龙.基于改进YOLOv8n的火灾检测方法研究及应用[D].安徽建筑大学,2025.DOI:10.27784/d.cnki.gahjz.2025.000541.</w:t>
            </w:r>
          </w:p>
          <w:p w14:paraId="3590F977">
            <w:pPr>
              <w:spacing w:line="440" w:lineRule="atLeast"/>
              <w:rPr>
                <w:rFonts w:asciiTheme="minorEastAsia" w:hAnsiTheme="minorEastAsia" w:eastAsiaTheme="minorEastAsia"/>
                <w:sz w:val="24"/>
              </w:rPr>
            </w:pPr>
            <w:r>
              <w:rPr>
                <w:rFonts w:hint="eastAsia" w:asciiTheme="minorEastAsia" w:hAnsiTheme="minorEastAsia" w:eastAsiaTheme="minorEastAsia"/>
                <w:sz w:val="24"/>
              </w:rPr>
              <w:t>[5]刘润滋,柳辰伟,吴伟华,等.基于轻量级模型的森林火灾图像协同识别方法[J/OL].物联网学报,1-14[2025-09-18].https://link.cnki.net/urlid/10.1491.tp.20250908.1802.004.</w:t>
            </w:r>
          </w:p>
          <w:p w14:paraId="15BF26EB">
            <w:pPr>
              <w:spacing w:line="440" w:lineRule="atLeast"/>
              <w:rPr>
                <w:rFonts w:asciiTheme="minorEastAsia" w:hAnsiTheme="minorEastAsia" w:eastAsiaTheme="minorEastAsia"/>
                <w:sz w:val="24"/>
              </w:rPr>
            </w:pPr>
            <w:r>
              <w:rPr>
                <w:rFonts w:hint="eastAsia" w:asciiTheme="minorEastAsia" w:hAnsiTheme="minorEastAsia" w:eastAsiaTheme="minorEastAsia"/>
                <w:sz w:val="24"/>
              </w:rPr>
              <w:t>[6]戴国洪,唐海山,陈从平,等.基于改进YOLOv5s的室内早期火灾检测算法[J].工业安全与环保,2025,51(08):69-75.</w:t>
            </w:r>
          </w:p>
          <w:p w14:paraId="6144D34B">
            <w:pPr>
              <w:spacing w:line="440" w:lineRule="atLeast"/>
              <w:rPr>
                <w:rFonts w:asciiTheme="minorEastAsia" w:hAnsiTheme="minorEastAsia" w:eastAsiaTheme="minorEastAsia"/>
                <w:sz w:val="24"/>
              </w:rPr>
            </w:pPr>
            <w:r>
              <w:rPr>
                <w:rFonts w:hint="eastAsia" w:asciiTheme="minorEastAsia" w:hAnsiTheme="minorEastAsia" w:eastAsiaTheme="minorEastAsia"/>
                <w:sz w:val="24"/>
              </w:rPr>
              <w:t>[7]汤晓东.基于深度学习的视频监控火情智能识别系统设计与实现[J].今日消防,2025,10(05):40-4</w:t>
            </w:r>
          </w:p>
          <w:p w14:paraId="286AE0DB">
            <w:pPr>
              <w:spacing w:line="440" w:lineRule="atLeast"/>
              <w:rPr>
                <w:rFonts w:asciiTheme="minorEastAsia" w:hAnsiTheme="minorEastAsia" w:eastAsiaTheme="minorEastAsia"/>
                <w:sz w:val="24"/>
              </w:rPr>
            </w:pPr>
            <w:r>
              <w:rPr>
                <w:rFonts w:hint="eastAsia" w:asciiTheme="minorEastAsia" w:hAnsiTheme="minorEastAsia" w:eastAsiaTheme="minorEastAsia"/>
                <w:sz w:val="24"/>
              </w:rPr>
              <w:t>[8]雷建云,田祚汉,夏梦,等.基于改进YOLOv8的森林火灾检测方法研究[J/OL].中南民族大学学报(自然科学版),1-9[2025-09-18].https://doi.org/10.20056/j.cnki.ZNMDZK.20250823.</w:t>
            </w:r>
          </w:p>
          <w:p w14:paraId="2740E7A9">
            <w:pPr>
              <w:spacing w:line="440" w:lineRule="atLeast"/>
              <w:rPr>
                <w:rFonts w:asciiTheme="minorEastAsia" w:hAnsiTheme="minorEastAsia" w:eastAsiaTheme="minorEastAsia"/>
                <w:sz w:val="24"/>
              </w:rPr>
            </w:pPr>
            <w:r>
              <w:rPr>
                <w:rFonts w:hint="eastAsia" w:asciiTheme="minorEastAsia" w:hAnsiTheme="minorEastAsia" w:eastAsiaTheme="minorEastAsia"/>
                <w:sz w:val="24"/>
              </w:rPr>
              <w:t>[9]雷吉琴,范嘉,易祥波,等.人工智能图像识别技术在森林火灾隐患排查中的应用研究[J].森林防火,2025,43(02):14-18.</w:t>
            </w:r>
          </w:p>
          <w:p w14:paraId="0003F76B">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[10]徐英.基于大数据分析的消防安全隐患识别与预警系统研究[J].今日消防,2025,10(03):34-36.</w:t>
            </w:r>
          </w:p>
          <w:p w14:paraId="3337801D">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[11]张麟.基于深度学习的无人机林火图像分析方法研究[D].东北林业大学,2023.DOI:10.27009/d.cnki.gdblu.2023.001085.</w:t>
            </w:r>
          </w:p>
          <w:p w14:paraId="733AB3DF">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[12]郝为礼.基于混合注意力机制和轻量化的火灾烟雾检测方法研究[D].杭州电子科技大学,2025.DOI:10.27075/d.cnki.ghzdc.2025.000327.</w:t>
            </w:r>
          </w:p>
          <w:p w14:paraId="2E1369C9">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[13]蔡梓洋.基于轻量化模型的森林火灾实时检测技术研究[D].电子科技大学,2025.DOI:10.27005/d.cnki.gdzku.2025.004226.</w:t>
            </w:r>
          </w:p>
          <w:p w14:paraId="39CE1851">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[14]张志慧.基于改进型自注意力机制的受限空间火灾预警方法研究[D].中国民用航空飞行学院,2025.DOI:10.27722/d.cnki.gzgmh.2025.000106.</w:t>
            </w:r>
          </w:p>
          <w:p w14:paraId="32879C2A">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[15]林海峰,马宇晨,蒋玲,等.基于深度学习的小目标林火检测实验设计与实现[J/OL].南京林业大学学报(自然科学版),1-11[2025-09-18].https://link.cnki.net/urlid/32.1161.S.20250430.1812.004.</w:t>
            </w:r>
          </w:p>
          <w:p w14:paraId="177ECEB4">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[16]朱培瑾.基于深度学习的火苗识别检测算法的研究[J].电脑与信息技术,2025,33(02):6-11.DOI:10.19414/j.cnki.1005-1228.2025.02.008.</w:t>
            </w:r>
          </w:p>
          <w:p w14:paraId="76CC81E4">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[17]Liu Q ,Chen H ,Lin D .Research and optimization of a multilevel fire detection framework based on deep learning and classical pattern recognition techniques[J].Scientific Reports,2025,15(1):20364-20364.</w:t>
            </w:r>
          </w:p>
          <w:p w14:paraId="1E9FF201">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[18]Joshi K ,Li X ,Windisch T , et al.From detection to segmentation: Combining foundation model with bounding boxes for efficient fire detection[J].Neurocomputing,2025,647130513-130513.</w:t>
            </w:r>
          </w:p>
          <w:p w14:paraId="7913D2AC">
            <w:pPr>
              <w:spacing w:line="440" w:lineRule="atLeast"/>
              <w:rPr>
                <w:rFonts w:asciiTheme="minorEastAsia" w:hAnsiTheme="minorEastAsia" w:eastAsiaTheme="minorEastAsia"/>
                <w:sz w:val="24"/>
              </w:rPr>
            </w:pPr>
            <w:r>
              <w:rPr>
                <w:rFonts w:hint="eastAsia" w:asciiTheme="minorEastAsia" w:hAnsiTheme="minorEastAsia" w:eastAsiaTheme="minorEastAsia"/>
                <w:sz w:val="24"/>
              </w:rPr>
              <w:t>[19]Samy S S ,Swarup S Y ,Kumar S T , et al.Fire and smoke detection using adoption of machine learning algorithm for improving fire safety and disaster preparedness[J].Asian Journal of Civil Engineering,2025,26(7):1-15.</w:t>
            </w:r>
          </w:p>
          <w:p w14:paraId="0886072D">
            <w:pPr>
              <w:spacing w:line="440" w:lineRule="atLeast"/>
              <w:rPr>
                <w:rFonts w:asciiTheme="minorEastAsia" w:hAnsiTheme="minorEastAsia" w:eastAsiaTheme="minorEastAsia"/>
                <w:sz w:val="24"/>
              </w:rPr>
            </w:pPr>
            <w:r>
              <w:rPr>
                <w:rFonts w:asciiTheme="minorEastAsia" w:hAnsiTheme="minorEastAsia" w:eastAsiaTheme="minorEastAsia"/>
                <w:sz w:val="24"/>
              </w:rPr>
              <w:t>[</w:t>
            </w:r>
            <w:r>
              <w:rPr>
                <w:rFonts w:hint="eastAsia" w:asciiTheme="minorEastAsia" w:hAnsiTheme="minorEastAsia" w:eastAsiaTheme="minorEastAsia"/>
                <w:sz w:val="24"/>
              </w:rPr>
              <w:t>20</w:t>
            </w:r>
            <w:r>
              <w:rPr>
                <w:rFonts w:asciiTheme="minorEastAsia" w:hAnsiTheme="minorEastAsia" w:eastAsiaTheme="minorEastAsia"/>
                <w:sz w:val="24"/>
              </w:rPr>
              <w:t>]Mamadmurodov A ,Umirzakova S ,Rakhimov M , et al.A Hybrid Deep Learning Model for Early Forest Fire Detection[J].Forests,2025,16(5):863-863.</w:t>
            </w:r>
          </w:p>
          <w:p w14:paraId="18CDF209">
            <w:pPr>
              <w:spacing w:line="440" w:lineRule="atLeast"/>
              <w:rPr>
                <w:rFonts w:asciiTheme="minorEastAsia" w:hAnsiTheme="minorEastAsia" w:eastAsiaTheme="minorEastAsia"/>
                <w:sz w:val="24"/>
              </w:rPr>
            </w:pPr>
            <w:r>
              <w:rPr>
                <w:rFonts w:hint="eastAsia" w:asciiTheme="minorEastAsia" w:hAnsiTheme="minorEastAsia" w:eastAsiaTheme="minorEastAsia"/>
                <w:sz w:val="24"/>
              </w:rPr>
              <w:t>[21]He L ,Zhou Y ,Liu L , et al.Research and application of deep learning object detection methods for forest fire smoke recognition[J].Scientific Reports,2025,15(1):16328-16328.</w:t>
            </w:r>
          </w:p>
          <w:p w14:paraId="1808AE67">
            <w:pPr>
              <w:spacing w:line="440" w:lineRule="atLeast"/>
              <w:rPr>
                <w:rFonts w:hint="eastAsia" w:asciiTheme="minorEastAsia" w:hAnsiTheme="minorEastAsia" w:eastAsiaTheme="minorEastAsia"/>
                <w:sz w:val="24"/>
              </w:rPr>
            </w:pPr>
            <w:r>
              <w:rPr>
                <w:rFonts w:asciiTheme="minorEastAsia" w:hAnsiTheme="minorEastAsia" w:eastAsiaTheme="minorEastAsia"/>
                <w:sz w:val="24"/>
              </w:rPr>
              <w:t>[</w:t>
            </w:r>
            <w:r>
              <w:rPr>
                <w:rFonts w:hint="eastAsia" w:asciiTheme="minorEastAsia" w:hAnsiTheme="minorEastAsia" w:eastAsiaTheme="minorEastAsia"/>
                <w:sz w:val="24"/>
              </w:rPr>
              <w:t>22</w:t>
            </w:r>
            <w:r>
              <w:rPr>
                <w:rFonts w:asciiTheme="minorEastAsia" w:hAnsiTheme="minorEastAsia" w:eastAsiaTheme="minorEastAsia"/>
                <w:sz w:val="24"/>
              </w:rPr>
              <w:t>]Sharma H ,Kanwal N .Intelligent video-based fire detection: A novel dataset and real-time multi-stage classification approach[J].Expert Systems With Applications,2025,271126655-126655.</w:t>
            </w:r>
          </w:p>
        </w:tc>
      </w:tr>
      <w:tr w14:paraId="5F65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3" w:hRule="atLeast"/>
          <w:jc w:val="center"/>
        </w:trPr>
        <w:tc>
          <w:tcPr>
            <w:tcW w:w="8741" w:type="dxa"/>
            <w:tcBorders>
              <w:top w:val="single" w:color="auto" w:sz="4" w:space="0"/>
              <w:left w:val="single" w:color="auto" w:sz="8" w:space="0"/>
              <w:bottom w:val="single" w:color="auto" w:sz="4" w:space="0"/>
              <w:right w:val="single" w:color="auto" w:sz="8" w:space="0"/>
            </w:tcBorders>
          </w:tcPr>
          <w:p w14:paraId="3AD6D992">
            <w:pPr>
              <w:pStyle w:val="5"/>
              <w:spacing w:line="440" w:lineRule="exact"/>
              <w:ind w:firstLine="0" w:firstLineChars="0"/>
              <w:jc w:val="left"/>
              <w:rPr>
                <w:rFonts w:hint="default" w:ascii="Times New Roman" w:hAnsi="Times New Roman"/>
                <w:sz w:val="24"/>
              </w:rPr>
            </w:pPr>
            <w:r>
              <w:rPr>
                <w:rFonts w:ascii="Times New Roman" w:hAnsi="Times New Roman"/>
                <w:sz w:val="24"/>
              </w:rPr>
              <w:t>6.指导教师意见（对课题的深度、广度及工作量的意见）</w:t>
            </w:r>
          </w:p>
        </w:tc>
      </w:tr>
      <w:tr w14:paraId="67B2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3" w:hRule="atLeast"/>
          <w:jc w:val="center"/>
        </w:trPr>
        <w:tc>
          <w:tcPr>
            <w:tcW w:w="8741" w:type="dxa"/>
            <w:tcBorders>
              <w:top w:val="single" w:color="auto" w:sz="4" w:space="0"/>
              <w:left w:val="single" w:color="auto" w:sz="8" w:space="0"/>
              <w:bottom w:val="single" w:color="auto" w:sz="4" w:space="0"/>
              <w:right w:val="single" w:color="auto" w:sz="8" w:space="0"/>
            </w:tcBorders>
          </w:tcPr>
          <w:p w14:paraId="01906E59">
            <w:pPr>
              <w:spacing w:line="360" w:lineRule="auto"/>
              <w:ind w:right="560" w:firstLine="480"/>
              <w:jc w:val="left"/>
              <w:rPr>
                <w:rFonts w:hint="eastAsia" w:ascii="宋体" w:hAnsi="宋体" w:cs="宋体"/>
                <w:color w:val="444444"/>
                <w:kern w:val="0"/>
                <w:sz w:val="24"/>
                <w:shd w:val="clear" w:color="auto" w:fill="FFFFFF"/>
              </w:rPr>
            </w:pPr>
          </w:p>
          <w:p w14:paraId="1CE60A13">
            <w:pPr>
              <w:spacing w:line="360" w:lineRule="auto"/>
              <w:ind w:right="560" w:firstLine="480"/>
              <w:jc w:val="left"/>
              <w:rPr>
                <w:rFonts w:hint="eastAsia" w:ascii="宋体" w:hAnsi="宋体"/>
                <w:sz w:val="24"/>
              </w:rPr>
            </w:pPr>
          </w:p>
          <w:p w14:paraId="401D4828">
            <w:pPr>
              <w:spacing w:line="360" w:lineRule="auto"/>
              <w:ind w:right="560" w:firstLine="4320" w:firstLineChars="1800"/>
              <w:rPr>
                <w:rFonts w:hint="eastAsia" w:ascii="宋体" w:hAnsi="宋体"/>
                <w:sz w:val="24"/>
              </w:rPr>
            </w:pPr>
            <w:r>
              <w:rPr>
                <w:rFonts w:ascii="宋体" w:hAnsi="宋体"/>
                <w:sz w:val="24"/>
              </w:rPr>
              <w:t>指导教师签字：</w:t>
            </w:r>
            <w:r>
              <w:rPr>
                <w:rFonts w:hint="eastAsia" w:ascii="宋体" w:hAnsi="宋体"/>
                <w:sz w:val="24"/>
              </w:rPr>
              <w:t xml:space="preserve"> </w:t>
            </w:r>
          </w:p>
          <w:p w14:paraId="3E65EFED">
            <w:pPr>
              <w:pStyle w:val="5"/>
              <w:spacing w:line="360" w:lineRule="auto"/>
              <w:ind w:right="560" w:firstLine="4320" w:firstLineChars="1800"/>
              <w:rPr>
                <w:rFonts w:hint="default" w:ascii="Times New Roman" w:hAnsi="Times New Roman"/>
                <w:sz w:val="24"/>
              </w:rPr>
            </w:pPr>
            <w:r>
              <w:rPr>
                <w:rFonts w:ascii="Times New Roman" w:hAnsi="Times New Roman"/>
                <w:sz w:val="24"/>
              </w:rPr>
              <w:t>202</w:t>
            </w:r>
            <w:r>
              <w:rPr>
                <w:rFonts w:hint="eastAsia" w:ascii="Times New Roman" w:hAnsi="Times New Roman"/>
                <w:sz w:val="24"/>
                <w:lang w:val="en-US" w:eastAsia="zh-CN"/>
              </w:rPr>
              <w:t>5</w:t>
            </w:r>
            <w:r>
              <w:rPr>
                <w:rFonts w:ascii="Times New Roman" w:hAnsi="Times New Roman"/>
                <w:sz w:val="24"/>
              </w:rPr>
              <w:t>年10月</w:t>
            </w:r>
            <w:r>
              <w:rPr>
                <w:rFonts w:hint="eastAsia" w:ascii="Times New Roman" w:hAnsi="Times New Roman"/>
                <w:sz w:val="24"/>
                <w:lang w:val="en-US" w:eastAsia="zh-CN"/>
              </w:rPr>
              <w:t>26</w:t>
            </w:r>
            <w:r>
              <w:rPr>
                <w:rFonts w:ascii="Times New Roman" w:hAnsi="Times New Roman"/>
                <w:sz w:val="24"/>
              </w:rPr>
              <w:t>日</w:t>
            </w:r>
          </w:p>
        </w:tc>
      </w:tr>
      <w:tr w14:paraId="35B0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9" w:hRule="atLeast"/>
          <w:jc w:val="center"/>
        </w:trPr>
        <w:tc>
          <w:tcPr>
            <w:tcW w:w="8741" w:type="dxa"/>
            <w:tcBorders>
              <w:top w:val="single" w:color="auto" w:sz="4" w:space="0"/>
              <w:left w:val="single" w:color="auto" w:sz="8" w:space="0"/>
              <w:bottom w:val="single" w:color="auto" w:sz="4" w:space="0"/>
              <w:right w:val="single" w:color="auto" w:sz="8" w:space="0"/>
            </w:tcBorders>
            <w:vAlign w:val="center"/>
          </w:tcPr>
          <w:p w14:paraId="36B0BF87">
            <w:pPr>
              <w:pStyle w:val="5"/>
              <w:spacing w:before="156" w:beforeLines="50"/>
              <w:ind w:firstLine="0" w:firstLineChars="0"/>
              <w:rPr>
                <w:rFonts w:hint="default" w:ascii="Times New Roman" w:hAnsi="Times New Roman"/>
                <w:sz w:val="24"/>
              </w:rPr>
            </w:pPr>
            <w:r>
              <w:rPr>
                <w:rFonts w:ascii="Times New Roman" w:hAnsi="Times New Roman"/>
                <w:sz w:val="24"/>
              </w:rPr>
              <w:t>7.教研室意见</w:t>
            </w:r>
          </w:p>
        </w:tc>
      </w:tr>
      <w:tr w14:paraId="1D55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9" w:hRule="atLeast"/>
          <w:jc w:val="center"/>
        </w:trPr>
        <w:tc>
          <w:tcPr>
            <w:tcW w:w="8741" w:type="dxa"/>
            <w:tcBorders>
              <w:top w:val="single" w:color="auto" w:sz="4" w:space="0"/>
              <w:left w:val="single" w:color="auto" w:sz="8" w:space="0"/>
              <w:bottom w:val="single" w:color="auto" w:sz="4" w:space="0"/>
              <w:right w:val="single" w:color="auto" w:sz="8" w:space="0"/>
            </w:tcBorders>
            <w:vAlign w:val="center"/>
          </w:tcPr>
          <w:p w14:paraId="4E9203A9">
            <w:pPr>
              <w:pStyle w:val="5"/>
              <w:spacing w:before="156" w:beforeLines="50"/>
              <w:ind w:firstLine="0" w:firstLineChars="0"/>
              <w:rPr>
                <w:sz w:val="24"/>
              </w:rPr>
            </w:pPr>
            <w:r>
              <w:rPr>
                <w:sz w:val="24"/>
              </w:rPr>
              <w:t xml:space="preserve">   </w:t>
            </w:r>
          </w:p>
          <w:p w14:paraId="52A3474E">
            <w:pPr>
              <w:pStyle w:val="5"/>
              <w:spacing w:before="156" w:beforeLines="50"/>
              <w:ind w:firstLine="0" w:firstLineChars="0"/>
              <w:rPr>
                <w:sz w:val="24"/>
              </w:rPr>
            </w:pPr>
            <w:r>
              <w:rPr>
                <w:sz w:val="24"/>
              </w:rPr>
              <w:t xml:space="preserve">       </w:t>
            </w:r>
          </w:p>
          <w:p w14:paraId="5CF35E2A">
            <w:pPr>
              <w:pStyle w:val="5"/>
              <w:spacing w:line="360" w:lineRule="auto"/>
              <w:ind w:right="560" w:firstLine="4320" w:firstLineChars="1800"/>
              <w:rPr>
                <w:sz w:val="24"/>
              </w:rPr>
            </w:pPr>
          </w:p>
          <w:p w14:paraId="7F70617F">
            <w:pPr>
              <w:pStyle w:val="5"/>
              <w:spacing w:line="360" w:lineRule="auto"/>
              <w:ind w:right="560" w:firstLine="4320" w:firstLineChars="1800"/>
              <w:rPr>
                <w:sz w:val="24"/>
              </w:rPr>
            </w:pPr>
            <w:r>
              <w:rPr>
                <w:sz w:val="24"/>
              </w:rPr>
              <w:t xml:space="preserve">教研室负责人签字： </w:t>
            </w:r>
          </w:p>
          <w:p w14:paraId="15594917">
            <w:pPr>
              <w:pStyle w:val="5"/>
              <w:spacing w:before="156" w:beforeLines="50"/>
              <w:ind w:firstLine="4320" w:firstLineChars="1800"/>
              <w:rPr>
                <w:rFonts w:hint="default" w:ascii="Times New Roman" w:hAnsi="Times New Roman"/>
                <w:sz w:val="24"/>
              </w:rPr>
            </w:pPr>
            <w:r>
              <w:rPr>
                <w:sz w:val="24"/>
              </w:rPr>
              <w:t>年   月   日</w:t>
            </w:r>
          </w:p>
        </w:tc>
      </w:tr>
      <w:tr w14:paraId="4CFA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9" w:hRule="atLeast"/>
          <w:jc w:val="center"/>
        </w:trPr>
        <w:tc>
          <w:tcPr>
            <w:tcW w:w="8741" w:type="dxa"/>
            <w:tcBorders>
              <w:top w:val="single" w:color="auto" w:sz="4" w:space="0"/>
              <w:left w:val="single" w:color="auto" w:sz="8" w:space="0"/>
              <w:bottom w:val="single" w:color="auto" w:sz="4" w:space="0"/>
              <w:right w:val="single" w:color="auto" w:sz="8" w:space="0"/>
            </w:tcBorders>
            <w:vAlign w:val="center"/>
          </w:tcPr>
          <w:p w14:paraId="79C9C795">
            <w:pPr>
              <w:pStyle w:val="5"/>
              <w:spacing w:before="156" w:beforeLines="50"/>
              <w:ind w:firstLine="0" w:firstLineChars="0"/>
              <w:rPr>
                <w:rFonts w:hint="default" w:ascii="Times New Roman" w:hAnsi="Times New Roman"/>
                <w:sz w:val="24"/>
              </w:rPr>
            </w:pPr>
            <w:r>
              <w:rPr>
                <w:sz w:val="24"/>
              </w:rPr>
              <w:t>8.所在学院审查意见</w:t>
            </w:r>
          </w:p>
        </w:tc>
      </w:tr>
      <w:tr w14:paraId="7EB2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5" w:hRule="atLeast"/>
          <w:jc w:val="center"/>
        </w:trPr>
        <w:tc>
          <w:tcPr>
            <w:tcW w:w="8741" w:type="dxa"/>
            <w:tcBorders>
              <w:top w:val="single" w:color="auto" w:sz="4" w:space="0"/>
              <w:left w:val="single" w:color="auto" w:sz="8" w:space="0"/>
              <w:bottom w:val="single" w:color="auto" w:sz="4" w:space="0"/>
              <w:right w:val="single" w:color="auto" w:sz="8" w:space="0"/>
            </w:tcBorders>
          </w:tcPr>
          <w:p w14:paraId="46324C74">
            <w:pPr>
              <w:pStyle w:val="5"/>
              <w:spacing w:line="440" w:lineRule="exact"/>
              <w:jc w:val="left"/>
              <w:rPr>
                <w:rFonts w:cs="宋体"/>
                <w:color w:val="444444"/>
                <w:kern w:val="0"/>
                <w:sz w:val="24"/>
                <w:shd w:val="clear" w:color="auto" w:fill="FFFFFF"/>
              </w:rPr>
            </w:pPr>
          </w:p>
          <w:p w14:paraId="12ABD31D">
            <w:pPr>
              <w:pStyle w:val="5"/>
              <w:spacing w:line="440" w:lineRule="exact"/>
              <w:ind w:firstLine="0" w:firstLineChars="0"/>
              <w:jc w:val="left"/>
              <w:rPr>
                <w:rFonts w:cs="宋体"/>
                <w:color w:val="444444"/>
                <w:kern w:val="0"/>
                <w:sz w:val="24"/>
                <w:shd w:val="clear" w:color="auto" w:fill="FFFFFF"/>
              </w:rPr>
            </w:pPr>
            <w:r>
              <w:rPr>
                <w:rFonts w:cs="宋体"/>
                <w:color w:val="444444"/>
                <w:kern w:val="0"/>
                <w:sz w:val="24"/>
                <w:shd w:val="clear" w:color="auto" w:fill="FFFFFF"/>
              </w:rPr>
              <w:t xml:space="preserve">        </w:t>
            </w:r>
          </w:p>
          <w:p w14:paraId="64CEB242">
            <w:pPr>
              <w:pStyle w:val="5"/>
              <w:spacing w:line="440" w:lineRule="exact"/>
              <w:ind w:firstLine="0" w:firstLineChars="0"/>
              <w:jc w:val="left"/>
              <w:rPr>
                <w:rFonts w:cs="宋体"/>
                <w:color w:val="444444"/>
                <w:kern w:val="0"/>
                <w:sz w:val="24"/>
                <w:shd w:val="clear" w:color="auto" w:fill="FFFFFF"/>
              </w:rPr>
            </w:pPr>
          </w:p>
          <w:p w14:paraId="68998D0E">
            <w:pPr>
              <w:pStyle w:val="5"/>
              <w:spacing w:line="440" w:lineRule="exact"/>
              <w:ind w:firstLine="0" w:firstLineChars="0"/>
              <w:jc w:val="left"/>
              <w:rPr>
                <w:sz w:val="24"/>
              </w:rPr>
            </w:pPr>
          </w:p>
          <w:p w14:paraId="65C52E52">
            <w:pPr>
              <w:pStyle w:val="5"/>
              <w:spacing w:line="440" w:lineRule="exact"/>
              <w:ind w:firstLine="4200" w:firstLineChars="1750"/>
              <w:jc w:val="left"/>
              <w:rPr>
                <w:sz w:val="24"/>
              </w:rPr>
            </w:pPr>
            <w:r>
              <w:rPr>
                <w:sz w:val="24"/>
              </w:rPr>
              <w:t>学院负责人（签字）：</w:t>
            </w:r>
          </w:p>
          <w:p w14:paraId="588EF0A1">
            <w:pPr>
              <w:pStyle w:val="5"/>
              <w:spacing w:line="440" w:lineRule="exact"/>
              <w:ind w:firstLine="4320" w:firstLineChars="1800"/>
              <w:jc w:val="left"/>
              <w:rPr>
                <w:rFonts w:hint="default" w:ascii="Times New Roman" w:hAnsi="Times New Roman"/>
                <w:sz w:val="24"/>
              </w:rPr>
            </w:pPr>
            <w:r>
              <w:rPr>
                <w:sz w:val="24"/>
              </w:rPr>
              <w:t>年   月   日</w:t>
            </w:r>
          </w:p>
        </w:tc>
      </w:tr>
    </w:tbl>
    <w:p w14:paraId="173945B8"/>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经典仿宋简">
    <w:altName w:val="仿宋"/>
    <w:panose1 w:val="00000000000000000000"/>
    <w:charset w:val="86"/>
    <w:family w:val="auto"/>
    <w:pitch w:val="default"/>
    <w:sig w:usb0="00000000" w:usb1="00000000" w:usb2="0000001E" w:usb3="00000000" w:csb0="20040000"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FF4646"/>
    <w:multiLevelType w:val="multilevel"/>
    <w:tmpl w:val="64FF4646"/>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ZlMzlhMTRkM2IzMTAxMzQzZjg3MDcyY2ZkMTQ1OTIifQ=="/>
  </w:docVars>
  <w:rsids>
    <w:rsidRoot w:val="30DB1AEF"/>
    <w:rsid w:val="000032AB"/>
    <w:rsid w:val="000072D1"/>
    <w:rsid w:val="000335B5"/>
    <w:rsid w:val="000651F2"/>
    <w:rsid w:val="00087CE0"/>
    <w:rsid w:val="000B1553"/>
    <w:rsid w:val="000F6AE9"/>
    <w:rsid w:val="00150821"/>
    <w:rsid w:val="00155A85"/>
    <w:rsid w:val="001A3104"/>
    <w:rsid w:val="001A714A"/>
    <w:rsid w:val="001D058C"/>
    <w:rsid w:val="001D348B"/>
    <w:rsid w:val="001E47C1"/>
    <w:rsid w:val="001E7005"/>
    <w:rsid w:val="001F40A8"/>
    <w:rsid w:val="002258FE"/>
    <w:rsid w:val="00292DF9"/>
    <w:rsid w:val="002C39D5"/>
    <w:rsid w:val="002F262B"/>
    <w:rsid w:val="00332D7F"/>
    <w:rsid w:val="0036629F"/>
    <w:rsid w:val="003E4AF7"/>
    <w:rsid w:val="004763DA"/>
    <w:rsid w:val="00476E9F"/>
    <w:rsid w:val="004D1265"/>
    <w:rsid w:val="00534C56"/>
    <w:rsid w:val="00550A19"/>
    <w:rsid w:val="005A0809"/>
    <w:rsid w:val="005D32F8"/>
    <w:rsid w:val="00656332"/>
    <w:rsid w:val="0069425A"/>
    <w:rsid w:val="00741474"/>
    <w:rsid w:val="007E332B"/>
    <w:rsid w:val="007F3222"/>
    <w:rsid w:val="00801C9B"/>
    <w:rsid w:val="008239E7"/>
    <w:rsid w:val="00826EFA"/>
    <w:rsid w:val="0083620F"/>
    <w:rsid w:val="00842230"/>
    <w:rsid w:val="0087264E"/>
    <w:rsid w:val="0089599C"/>
    <w:rsid w:val="00902657"/>
    <w:rsid w:val="009177D2"/>
    <w:rsid w:val="00963232"/>
    <w:rsid w:val="00980186"/>
    <w:rsid w:val="00A30692"/>
    <w:rsid w:val="00A5349E"/>
    <w:rsid w:val="00A737E2"/>
    <w:rsid w:val="00A8225C"/>
    <w:rsid w:val="00AA56B8"/>
    <w:rsid w:val="00AD581B"/>
    <w:rsid w:val="00AD72D3"/>
    <w:rsid w:val="00AE1108"/>
    <w:rsid w:val="00B20963"/>
    <w:rsid w:val="00B74D49"/>
    <w:rsid w:val="00B848BA"/>
    <w:rsid w:val="00B87C7F"/>
    <w:rsid w:val="00BA0214"/>
    <w:rsid w:val="00BB0F42"/>
    <w:rsid w:val="00C376D8"/>
    <w:rsid w:val="00C40EC9"/>
    <w:rsid w:val="00C451F0"/>
    <w:rsid w:val="00C73157"/>
    <w:rsid w:val="00C832FE"/>
    <w:rsid w:val="00CA652E"/>
    <w:rsid w:val="00CB348D"/>
    <w:rsid w:val="00CD4701"/>
    <w:rsid w:val="00CF7820"/>
    <w:rsid w:val="00D34FCF"/>
    <w:rsid w:val="00D52877"/>
    <w:rsid w:val="00D55F3E"/>
    <w:rsid w:val="00D83245"/>
    <w:rsid w:val="00DB7102"/>
    <w:rsid w:val="00DE651F"/>
    <w:rsid w:val="00E36CD4"/>
    <w:rsid w:val="00E434B1"/>
    <w:rsid w:val="00E55579"/>
    <w:rsid w:val="00E7719E"/>
    <w:rsid w:val="00EA1462"/>
    <w:rsid w:val="00F37082"/>
    <w:rsid w:val="00F57DE4"/>
    <w:rsid w:val="00F61C8F"/>
    <w:rsid w:val="00F71C35"/>
    <w:rsid w:val="00FA2CAF"/>
    <w:rsid w:val="01C71782"/>
    <w:rsid w:val="02EF5232"/>
    <w:rsid w:val="06147E59"/>
    <w:rsid w:val="06D807EF"/>
    <w:rsid w:val="06FD1328"/>
    <w:rsid w:val="0A1E0F4D"/>
    <w:rsid w:val="0A753454"/>
    <w:rsid w:val="0C8E341A"/>
    <w:rsid w:val="0CDD7993"/>
    <w:rsid w:val="0D333DBB"/>
    <w:rsid w:val="1061333E"/>
    <w:rsid w:val="11473B78"/>
    <w:rsid w:val="149363ED"/>
    <w:rsid w:val="15A02A2D"/>
    <w:rsid w:val="16446688"/>
    <w:rsid w:val="1890281F"/>
    <w:rsid w:val="1A370E5D"/>
    <w:rsid w:val="1AA8344A"/>
    <w:rsid w:val="1BE63C8A"/>
    <w:rsid w:val="1C002493"/>
    <w:rsid w:val="1D3C0585"/>
    <w:rsid w:val="1D447611"/>
    <w:rsid w:val="20A00A0F"/>
    <w:rsid w:val="22AD2251"/>
    <w:rsid w:val="245C67FB"/>
    <w:rsid w:val="24D32F62"/>
    <w:rsid w:val="27645710"/>
    <w:rsid w:val="283958EC"/>
    <w:rsid w:val="2BE47AAA"/>
    <w:rsid w:val="2D38530B"/>
    <w:rsid w:val="2E0A52EF"/>
    <w:rsid w:val="30DB1AEF"/>
    <w:rsid w:val="31A55C86"/>
    <w:rsid w:val="348D3DC1"/>
    <w:rsid w:val="38010CC1"/>
    <w:rsid w:val="3A7858BF"/>
    <w:rsid w:val="3AD2467C"/>
    <w:rsid w:val="3D7309E6"/>
    <w:rsid w:val="3FA107A1"/>
    <w:rsid w:val="3FD62197"/>
    <w:rsid w:val="4093139F"/>
    <w:rsid w:val="43FB66E3"/>
    <w:rsid w:val="453A5418"/>
    <w:rsid w:val="4AFD1FCD"/>
    <w:rsid w:val="4D86662D"/>
    <w:rsid w:val="4E4040AC"/>
    <w:rsid w:val="4ED11A10"/>
    <w:rsid w:val="504143E0"/>
    <w:rsid w:val="53165C44"/>
    <w:rsid w:val="540B6566"/>
    <w:rsid w:val="555037F1"/>
    <w:rsid w:val="56BF53F1"/>
    <w:rsid w:val="59C604DE"/>
    <w:rsid w:val="5A145A8B"/>
    <w:rsid w:val="5A63026A"/>
    <w:rsid w:val="5A6A55FD"/>
    <w:rsid w:val="5AE22E06"/>
    <w:rsid w:val="5D5F7164"/>
    <w:rsid w:val="5DA22A1E"/>
    <w:rsid w:val="5F535121"/>
    <w:rsid w:val="6129748A"/>
    <w:rsid w:val="62B72720"/>
    <w:rsid w:val="64CE3D3A"/>
    <w:rsid w:val="659619BD"/>
    <w:rsid w:val="663F47BD"/>
    <w:rsid w:val="698D367D"/>
    <w:rsid w:val="6CC13DA5"/>
    <w:rsid w:val="6D2E3CD1"/>
    <w:rsid w:val="703B0EB1"/>
    <w:rsid w:val="733F48EB"/>
    <w:rsid w:val="75EA076B"/>
    <w:rsid w:val="76615D27"/>
    <w:rsid w:val="77F51F25"/>
    <w:rsid w:val="786B1CDE"/>
    <w:rsid w:val="7AC46EE6"/>
    <w:rsid w:val="7EFE0922"/>
    <w:rsid w:val="7FB60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0"/>
    <w:pPr>
      <w:keepNext/>
      <w:keepLines/>
      <w:spacing w:before="260" w:after="260" w:line="416" w:lineRule="auto"/>
      <w:outlineLvl w:val="2"/>
    </w:pPr>
    <w:rPr>
      <w:bCs/>
      <w:sz w:val="24"/>
      <w:szCs w:val="32"/>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Indent"/>
    <w:basedOn w:val="1"/>
    <w:link w:val="16"/>
    <w:qFormat/>
    <w:uiPriority w:val="0"/>
    <w:pPr>
      <w:ind w:firstLine="420" w:firstLineChars="200"/>
    </w:pPr>
    <w:rPr>
      <w:rFonts w:hint="eastAsia" w:ascii="宋体" w:hAnsi="宋体"/>
    </w:rPr>
  </w:style>
  <w:style w:type="paragraph" w:styleId="6">
    <w:name w:val="Balloon Text"/>
    <w:basedOn w:val="1"/>
    <w:link w:val="17"/>
    <w:qFormat/>
    <w:uiPriority w:val="0"/>
    <w:rPr>
      <w:sz w:val="18"/>
      <w:szCs w:val="18"/>
    </w:rPr>
  </w:style>
  <w:style w:type="paragraph" w:styleId="7">
    <w:name w:val="footer"/>
    <w:basedOn w:val="1"/>
    <w:link w:val="19"/>
    <w:qFormat/>
    <w:uiPriority w:val="0"/>
    <w:pPr>
      <w:tabs>
        <w:tab w:val="center" w:pos="4153"/>
        <w:tab w:val="right" w:pos="8306"/>
      </w:tabs>
      <w:snapToGrid w:val="0"/>
      <w:jc w:val="left"/>
    </w:pPr>
    <w:rPr>
      <w:sz w:val="18"/>
      <w:szCs w:val="18"/>
    </w:rPr>
  </w:style>
  <w:style w:type="paragraph" w:styleId="8">
    <w:name w:val="header"/>
    <w:basedOn w:val="1"/>
    <w:link w:val="18"/>
    <w:qFormat/>
    <w:uiPriority w:val="0"/>
    <w:pPr>
      <w:tabs>
        <w:tab w:val="center" w:pos="4153"/>
        <w:tab w:val="right" w:pos="8306"/>
      </w:tabs>
      <w:snapToGrid w:val="0"/>
      <w:jc w:val="center"/>
    </w:pPr>
    <w:rPr>
      <w:sz w:val="18"/>
      <w:szCs w:val="18"/>
    </w:r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qFormat/>
    <w:uiPriority w:val="0"/>
    <w:rPr>
      <w:color w:val="0000FF" w:themeColor="hyperlink"/>
      <w:u w:val="single"/>
      <w14:textFill>
        <w14:solidFill>
          <w14:schemeClr w14:val="hlink"/>
        </w14:solidFill>
      </w14:textFill>
    </w:rPr>
  </w:style>
  <w:style w:type="paragraph" w:customStyle="1" w:styleId="15">
    <w:name w:val="无间隔1"/>
    <w:link w:val="22"/>
    <w:qFormat/>
    <w:uiPriority w:val="0"/>
    <w:pPr>
      <w:widowControl w:val="0"/>
      <w:jc w:val="both"/>
    </w:pPr>
    <w:rPr>
      <w:rFonts w:ascii="Calibri" w:hAnsi="Calibri" w:eastAsia="宋体" w:cs="Times New Roman"/>
      <w:kern w:val="2"/>
      <w:sz w:val="21"/>
      <w:szCs w:val="24"/>
      <w:lang w:val="en-US" w:eastAsia="zh-CN" w:bidi="ar-SA"/>
    </w:rPr>
  </w:style>
  <w:style w:type="character" w:customStyle="1" w:styleId="16">
    <w:name w:val="正文文本缩进 字符"/>
    <w:link w:val="5"/>
    <w:uiPriority w:val="0"/>
    <w:rPr>
      <w:rFonts w:ascii="宋体" w:hAnsi="宋体"/>
      <w:kern w:val="2"/>
      <w:sz w:val="21"/>
      <w:szCs w:val="24"/>
    </w:rPr>
  </w:style>
  <w:style w:type="character" w:customStyle="1" w:styleId="17">
    <w:name w:val="批注框文本 字符"/>
    <w:basedOn w:val="12"/>
    <w:link w:val="6"/>
    <w:qFormat/>
    <w:uiPriority w:val="0"/>
    <w:rPr>
      <w:kern w:val="2"/>
      <w:sz w:val="18"/>
      <w:szCs w:val="18"/>
    </w:rPr>
  </w:style>
  <w:style w:type="character" w:customStyle="1" w:styleId="18">
    <w:name w:val="页眉 字符"/>
    <w:basedOn w:val="12"/>
    <w:link w:val="8"/>
    <w:qFormat/>
    <w:uiPriority w:val="0"/>
    <w:rPr>
      <w:kern w:val="2"/>
      <w:sz w:val="18"/>
      <w:szCs w:val="18"/>
    </w:rPr>
  </w:style>
  <w:style w:type="character" w:customStyle="1" w:styleId="19">
    <w:name w:val="页脚 字符"/>
    <w:basedOn w:val="12"/>
    <w:link w:val="7"/>
    <w:qFormat/>
    <w:uiPriority w:val="0"/>
    <w:rPr>
      <w:kern w:val="2"/>
      <w:sz w:val="18"/>
      <w:szCs w:val="18"/>
    </w:rPr>
  </w:style>
  <w:style w:type="character" w:customStyle="1" w:styleId="20">
    <w:name w:val="标题 1 字符"/>
    <w:basedOn w:val="12"/>
    <w:link w:val="2"/>
    <w:uiPriority w:val="0"/>
    <w:rPr>
      <w:b/>
      <w:bCs/>
      <w:kern w:val="44"/>
      <w:sz w:val="44"/>
      <w:szCs w:val="44"/>
    </w:rPr>
  </w:style>
  <w:style w:type="character" w:customStyle="1" w:styleId="21">
    <w:name w:val="Unresolved Mention"/>
    <w:basedOn w:val="12"/>
    <w:semiHidden/>
    <w:unhideWhenUsed/>
    <w:uiPriority w:val="99"/>
    <w:rPr>
      <w:color w:val="605E5C"/>
      <w:shd w:val="clear" w:color="auto" w:fill="E1DFDD"/>
    </w:rPr>
  </w:style>
  <w:style w:type="character" w:customStyle="1" w:styleId="22">
    <w:name w:val="无间隔1 Char"/>
    <w:link w:val="15"/>
    <w:uiPriority w:val="0"/>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IT</Company>
  <Pages>9</Pages>
  <Words>1592</Words>
  <Characters>1668</Characters>
  <Lines>126</Lines>
  <Paragraphs>86</Paragraphs>
  <TotalTime>14</TotalTime>
  <ScaleCrop>false</ScaleCrop>
  <LinksUpToDate>false</LinksUpToDate>
  <CharactersWithSpaces>1702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2024-10-10T01:03:00Z</dcterms:created>
  <dc:creator>Administrator</dc:creator>
  <cp:lastModifiedBy>R</cp:lastModifiedBy>
  <dcterms:modified xsi:type="dcterms:W3CDTF">2025-10-27T08:01:28Z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3AA5E1D3F968412AA5A6047CEF68D792_13</vt:lpwstr>
  </property>
  <property fmtid="{D5CDD505-2E9C-101B-9397-08002B2CF9AE}" pid="4" name="KSOTemplateDocerSaveRecord">
    <vt:lpwstr>eyJoZGlkIjoiOTQzNzgwYjdkNzQxNDQ1NjJiY2RhM2FjMGQ0ZDI4YjkiLCJ1c2VySWQiOiI3MTAyNzcxMjIifQ==</vt:lpwstr>
  </property>
</Properties>
</file>