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tabs>
          <w:tab w:val="left" w:pos="2200"/>
        </w:tabs>
        <w:ind w:left="6720" w:hanging="6720" w:hangingChars="2100"/>
        <w:jc w:val="left"/>
        <w:rPr>
          <w:rFonts w:ascii="仿宋_GB2312" w:hAnsi="宋体" w:eastAsia="仿宋_GB2312"/>
          <w:bCs/>
          <w:sz w:val="32"/>
          <w:szCs w:val="32"/>
        </w:rPr>
      </w:pPr>
      <w:r>
        <w:rPr>
          <w:rFonts w:ascii="仿宋_GB2312" w:hAnsi="宋体" w:eastAsia="仿宋_GB2312"/>
          <w:bCs/>
          <w:sz w:val="32"/>
          <w:szCs w:val="32"/>
        </w:rPr>
        <w:tab/>
      </w:r>
    </w:p>
    <w:p>
      <w:pPr>
        <w:ind w:left="9276" w:hanging="9276" w:hangingChars="2100"/>
        <w:jc w:val="center"/>
        <w:rPr>
          <w:b/>
          <w:sz w:val="44"/>
          <w:szCs w:val="44"/>
        </w:rPr>
      </w:pPr>
    </w:p>
    <w:p>
      <w:pPr>
        <w:ind w:left="9276" w:hanging="9276" w:hangingChars="2100"/>
        <w:jc w:val="center"/>
        <w:rPr>
          <w:b/>
          <w:sz w:val="44"/>
          <w:szCs w:val="44"/>
        </w:rPr>
      </w:pPr>
    </w:p>
    <w:p>
      <w:pPr>
        <w:ind w:left="9276" w:hanging="9276" w:hangingChars="2100"/>
        <w:jc w:val="center"/>
        <w:rPr>
          <w:b/>
          <w:sz w:val="44"/>
          <w:szCs w:val="44"/>
        </w:rPr>
      </w:pPr>
      <w:bookmarkStart w:id="0" w:name="_GoBack"/>
      <w:bookmarkEnd w:id="0"/>
    </w:p>
    <w:p>
      <w:pPr>
        <w:ind w:left="9276" w:hanging="9276" w:hangingChars="2100"/>
        <w:jc w:val="center"/>
        <w:rPr>
          <w:b/>
          <w:sz w:val="44"/>
          <w:szCs w:val="44"/>
        </w:rPr>
      </w:pPr>
    </w:p>
    <w:p>
      <w:pPr>
        <w:ind w:left="9276" w:hanging="9276" w:hangingChars="2100"/>
        <w:jc w:val="center"/>
        <w:rPr>
          <w:b/>
          <w:sz w:val="44"/>
          <w:szCs w:val="44"/>
        </w:rPr>
      </w:pPr>
    </w:p>
    <w:p>
      <w:pPr>
        <w:ind w:left="9276" w:hanging="9276" w:hangingChars="2100"/>
        <w:rPr>
          <w:b/>
          <w:sz w:val="44"/>
          <w:szCs w:val="44"/>
        </w:rPr>
      </w:pPr>
      <w:r>
        <w:rPr>
          <w:rFonts w:hint="eastAsia"/>
          <w:b/>
          <w:sz w:val="44"/>
          <w:szCs w:val="44"/>
        </w:rPr>
        <w:t>　　　　评估机构入库服务框架协议</w:t>
      </w:r>
    </w:p>
    <w:p>
      <w:pPr>
        <w:ind w:left="9276" w:hanging="9276" w:hangingChars="2100"/>
        <w:jc w:val="center"/>
        <w:rPr>
          <w:b/>
          <w:sz w:val="44"/>
          <w:szCs w:val="44"/>
        </w:rPr>
      </w:pPr>
    </w:p>
    <w:p>
      <w:pPr>
        <w:ind w:left="9276" w:hanging="9276" w:hangingChars="2100"/>
        <w:jc w:val="center"/>
        <w:rPr>
          <w:b/>
          <w:sz w:val="44"/>
          <w:szCs w:val="44"/>
        </w:rPr>
      </w:pPr>
    </w:p>
    <w:p>
      <w:pPr>
        <w:ind w:left="9276" w:hanging="9276" w:hangingChars="2100"/>
        <w:jc w:val="center"/>
        <w:rPr>
          <w:b/>
          <w:sz w:val="44"/>
          <w:szCs w:val="44"/>
        </w:rPr>
      </w:pPr>
    </w:p>
    <w:p>
      <w:pPr>
        <w:ind w:left="9276" w:hanging="9276" w:hangingChars="2100"/>
        <w:jc w:val="center"/>
        <w:rPr>
          <w:b/>
          <w:sz w:val="44"/>
          <w:szCs w:val="44"/>
        </w:rPr>
      </w:pPr>
    </w:p>
    <w:p>
      <w:pPr>
        <w:ind w:left="9276" w:hanging="9276" w:hangingChars="2100"/>
        <w:jc w:val="center"/>
        <w:rPr>
          <w:b/>
          <w:sz w:val="44"/>
          <w:szCs w:val="44"/>
        </w:rPr>
      </w:pPr>
    </w:p>
    <w:p>
      <w:pPr>
        <w:ind w:left="9276" w:hanging="9276" w:hangingChars="2100"/>
        <w:jc w:val="center"/>
        <w:rPr>
          <w:b/>
          <w:sz w:val="44"/>
          <w:szCs w:val="44"/>
        </w:rPr>
      </w:pPr>
    </w:p>
    <w:p>
      <w:pPr>
        <w:ind w:left="9276" w:hanging="9276" w:hangingChars="2100"/>
        <w:jc w:val="center"/>
        <w:rPr>
          <w:b/>
          <w:sz w:val="44"/>
          <w:szCs w:val="44"/>
        </w:rPr>
      </w:pPr>
    </w:p>
    <w:p>
      <w:pPr>
        <w:ind w:left="9276" w:hanging="9276" w:hangingChars="2100"/>
        <w:jc w:val="center"/>
        <w:rPr>
          <w:b/>
          <w:sz w:val="44"/>
          <w:szCs w:val="44"/>
        </w:rPr>
      </w:pPr>
    </w:p>
    <w:p>
      <w:pPr>
        <w:ind w:left="9276" w:hanging="9276" w:hangingChars="2100"/>
        <w:jc w:val="center"/>
        <w:rPr>
          <w:b/>
          <w:sz w:val="44"/>
          <w:szCs w:val="44"/>
        </w:rPr>
      </w:pPr>
    </w:p>
    <w:p>
      <w:pPr>
        <w:ind w:left="9276" w:hanging="9276" w:hangingChars="2100"/>
        <w:jc w:val="center"/>
        <w:rPr>
          <w:b/>
          <w:sz w:val="44"/>
          <w:szCs w:val="44"/>
        </w:rPr>
      </w:pPr>
    </w:p>
    <w:p>
      <w:pPr>
        <w:ind w:left="9276" w:hanging="9276" w:hangingChars="2100"/>
        <w:jc w:val="center"/>
        <w:rPr>
          <w:b/>
          <w:sz w:val="44"/>
          <w:szCs w:val="44"/>
        </w:rPr>
      </w:pPr>
    </w:p>
    <w:p>
      <w:pPr>
        <w:ind w:left="9276" w:hanging="9276" w:hangingChars="2100"/>
        <w:jc w:val="center"/>
        <w:rPr>
          <w:b/>
          <w:sz w:val="44"/>
          <w:szCs w:val="44"/>
        </w:rPr>
      </w:pPr>
    </w:p>
    <w:p>
      <w:pPr>
        <w:ind w:left="9276" w:hanging="9276" w:hangingChars="2100"/>
        <w:jc w:val="center"/>
        <w:rPr>
          <w:b/>
          <w:sz w:val="44"/>
          <w:szCs w:val="44"/>
        </w:rPr>
      </w:pPr>
    </w:p>
    <w:p>
      <w:pPr>
        <w:ind w:left="9276" w:hanging="9276" w:hangingChars="2100"/>
        <w:jc w:val="center"/>
        <w:rPr>
          <w:b/>
          <w:sz w:val="44"/>
          <w:szCs w:val="44"/>
        </w:rPr>
      </w:pPr>
    </w:p>
    <w:p>
      <w:pPr>
        <w:ind w:left="9276" w:hanging="9276" w:hangingChars="2100"/>
        <w:jc w:val="center"/>
        <w:rPr>
          <w:b/>
          <w:sz w:val="44"/>
          <w:szCs w:val="44"/>
        </w:rPr>
      </w:pPr>
    </w:p>
    <w:p>
      <w:pPr>
        <w:tabs>
          <w:tab w:val="left" w:pos="450"/>
        </w:tabs>
        <w:rPr>
          <w:rFonts w:ascii="仿宋_GB2312" w:hAnsi="宋体" w:eastAsia="仿宋_GB2312"/>
          <w:bCs/>
          <w:sz w:val="32"/>
          <w:szCs w:val="32"/>
        </w:rPr>
      </w:pPr>
      <w:r>
        <w:rPr>
          <w:rFonts w:hint="eastAsia" w:ascii="仿宋_GB2312" w:hAnsi="宋体" w:eastAsia="仿宋_GB2312"/>
          <w:bCs/>
          <w:sz w:val="32"/>
          <w:szCs w:val="32"/>
        </w:rPr>
        <w:t xml:space="preserve">甲方：中国交通建设集团有限公司 </w:t>
      </w:r>
    </w:p>
    <w:p>
      <w:pPr>
        <w:tabs>
          <w:tab w:val="left" w:pos="450"/>
        </w:tabs>
        <w:rPr>
          <w:rFonts w:ascii="仿宋_GB2312" w:hAnsi="宋体" w:eastAsia="仿宋_GB2312"/>
          <w:bCs/>
          <w:sz w:val="32"/>
          <w:szCs w:val="32"/>
        </w:rPr>
      </w:pPr>
      <w:r>
        <w:rPr>
          <w:rFonts w:hint="eastAsia" w:ascii="仿宋_GB2312" w:hAnsi="宋体" w:eastAsia="仿宋_GB2312"/>
          <w:bCs/>
          <w:sz w:val="32"/>
          <w:szCs w:val="32"/>
        </w:rPr>
        <w:t xml:space="preserve">法定代表人： </w:t>
      </w:r>
    </w:p>
    <w:p>
      <w:pPr>
        <w:tabs>
          <w:tab w:val="left" w:pos="450"/>
        </w:tabs>
        <w:rPr>
          <w:rFonts w:ascii="仿宋_GB2312" w:hAnsi="宋体" w:eastAsia="仿宋_GB2312"/>
          <w:bCs/>
          <w:sz w:val="32"/>
          <w:szCs w:val="32"/>
        </w:rPr>
      </w:pPr>
      <w:r>
        <w:rPr>
          <w:rFonts w:hint="eastAsia" w:ascii="仿宋_GB2312" w:hAnsi="宋体" w:eastAsia="仿宋_GB2312"/>
          <w:bCs/>
          <w:sz w:val="32"/>
          <w:szCs w:val="32"/>
        </w:rPr>
        <w:t>地址： 北京市西城区德胜门外大街85号</w:t>
      </w:r>
    </w:p>
    <w:p>
      <w:pPr>
        <w:tabs>
          <w:tab w:val="left" w:pos="450"/>
        </w:tabs>
        <w:rPr>
          <w:rFonts w:ascii="仿宋_GB2312" w:hAnsi="宋体" w:eastAsia="仿宋_GB2312"/>
          <w:bCs/>
          <w:sz w:val="32"/>
          <w:szCs w:val="32"/>
        </w:rPr>
      </w:pPr>
      <w:r>
        <w:rPr>
          <w:rFonts w:hint="eastAsia" w:ascii="仿宋_GB2312" w:hAnsi="宋体" w:eastAsia="仿宋_GB2312"/>
          <w:bCs/>
          <w:sz w:val="32"/>
          <w:szCs w:val="32"/>
        </w:rPr>
        <w:t xml:space="preserve">联系人： </w:t>
      </w:r>
    </w:p>
    <w:p>
      <w:pPr>
        <w:tabs>
          <w:tab w:val="left" w:pos="450"/>
        </w:tabs>
        <w:rPr>
          <w:rFonts w:ascii="仿宋_GB2312" w:hAnsi="宋体" w:eastAsia="仿宋_GB2312"/>
          <w:bCs/>
          <w:sz w:val="32"/>
          <w:szCs w:val="32"/>
        </w:rPr>
      </w:pPr>
      <w:r>
        <w:rPr>
          <w:rFonts w:hint="eastAsia" w:ascii="仿宋_GB2312" w:hAnsi="宋体" w:eastAsia="仿宋_GB2312"/>
          <w:bCs/>
          <w:sz w:val="32"/>
          <w:szCs w:val="32"/>
        </w:rPr>
        <w:t xml:space="preserve">联系方式: </w:t>
      </w:r>
    </w:p>
    <w:p>
      <w:pPr>
        <w:tabs>
          <w:tab w:val="left" w:pos="450"/>
        </w:tabs>
        <w:rPr>
          <w:rFonts w:ascii="仿宋_GB2312" w:hAnsi="宋体" w:eastAsia="仿宋_GB2312"/>
          <w:bCs/>
          <w:sz w:val="32"/>
          <w:szCs w:val="32"/>
        </w:rPr>
      </w:pPr>
    </w:p>
    <w:p>
      <w:pPr>
        <w:tabs>
          <w:tab w:val="left" w:pos="450"/>
        </w:tabs>
        <w:rPr>
          <w:rFonts w:ascii="仿宋_GB2312" w:hAnsi="宋体" w:eastAsia="仿宋_GB2312"/>
          <w:bCs/>
          <w:sz w:val="32"/>
          <w:szCs w:val="32"/>
        </w:rPr>
      </w:pPr>
      <w:r>
        <w:rPr>
          <w:rFonts w:hint="eastAsia" w:ascii="仿宋_GB2312" w:hAnsi="宋体" w:eastAsia="仿宋_GB2312"/>
          <w:bCs/>
          <w:sz w:val="32"/>
          <w:szCs w:val="32"/>
        </w:rPr>
        <w:t>乙方：＊＊＊评估有限公司</w:t>
      </w:r>
    </w:p>
    <w:p>
      <w:pPr>
        <w:tabs>
          <w:tab w:val="left" w:pos="450"/>
        </w:tabs>
        <w:rPr>
          <w:rFonts w:ascii="仿宋_GB2312" w:hAnsi="宋体" w:eastAsia="仿宋_GB2312"/>
          <w:bCs/>
          <w:sz w:val="32"/>
          <w:szCs w:val="32"/>
        </w:rPr>
      </w:pPr>
      <w:r>
        <w:rPr>
          <w:rFonts w:hint="eastAsia" w:ascii="仿宋_GB2312" w:hAnsi="宋体" w:eastAsia="仿宋_GB2312"/>
          <w:bCs/>
          <w:sz w:val="32"/>
          <w:szCs w:val="32"/>
        </w:rPr>
        <w:t>法定代表人：</w:t>
      </w:r>
      <w:r>
        <w:rPr>
          <w:rFonts w:ascii="仿宋_GB2312" w:hAnsi="宋体" w:eastAsia="仿宋_GB2312"/>
          <w:bCs/>
          <w:sz w:val="32"/>
          <w:szCs w:val="32"/>
        </w:rPr>
        <w:t xml:space="preserve"> </w:t>
      </w:r>
    </w:p>
    <w:p>
      <w:pPr>
        <w:tabs>
          <w:tab w:val="left" w:pos="450"/>
        </w:tabs>
        <w:rPr>
          <w:rFonts w:ascii="仿宋_GB2312" w:hAnsi="宋体" w:eastAsia="仿宋_GB2312"/>
          <w:bCs/>
          <w:sz w:val="32"/>
          <w:szCs w:val="32"/>
        </w:rPr>
      </w:pPr>
      <w:r>
        <w:rPr>
          <w:rFonts w:hint="eastAsia" w:ascii="仿宋_GB2312" w:hAnsi="宋体" w:eastAsia="仿宋_GB2312"/>
          <w:bCs/>
          <w:sz w:val="32"/>
          <w:szCs w:val="32"/>
        </w:rPr>
        <w:t>地址：　　　</w:t>
      </w:r>
    </w:p>
    <w:p>
      <w:pPr>
        <w:tabs>
          <w:tab w:val="left" w:pos="450"/>
        </w:tabs>
        <w:rPr>
          <w:rFonts w:ascii="仿宋_GB2312" w:hAnsi="宋体" w:eastAsia="仿宋_GB2312"/>
          <w:bCs/>
          <w:sz w:val="32"/>
          <w:szCs w:val="32"/>
        </w:rPr>
      </w:pPr>
      <w:r>
        <w:rPr>
          <w:rFonts w:hint="eastAsia" w:ascii="仿宋_GB2312" w:hAnsi="宋体" w:eastAsia="仿宋_GB2312"/>
          <w:bCs/>
          <w:sz w:val="32"/>
          <w:szCs w:val="32"/>
        </w:rPr>
        <w:t>联系人：</w:t>
      </w:r>
      <w:r>
        <w:rPr>
          <w:rFonts w:ascii="仿宋_GB2312" w:hAnsi="宋体" w:eastAsia="仿宋_GB2312"/>
          <w:bCs/>
          <w:sz w:val="32"/>
          <w:szCs w:val="32"/>
        </w:rPr>
        <w:t xml:space="preserve"> </w:t>
      </w:r>
    </w:p>
    <w:p>
      <w:pPr>
        <w:tabs>
          <w:tab w:val="left" w:pos="450"/>
        </w:tabs>
        <w:rPr>
          <w:rFonts w:ascii="仿宋_GB2312" w:hAnsi="宋体" w:eastAsia="仿宋_GB2312"/>
          <w:bCs/>
          <w:sz w:val="32"/>
          <w:szCs w:val="32"/>
        </w:rPr>
      </w:pPr>
      <w:r>
        <w:rPr>
          <w:rFonts w:hint="eastAsia" w:ascii="仿宋_GB2312" w:hAnsi="宋体" w:eastAsia="仿宋_GB2312"/>
          <w:bCs/>
          <w:sz w:val="32"/>
          <w:szCs w:val="32"/>
        </w:rPr>
        <w:t>联系方式：</w:t>
      </w:r>
      <w:r>
        <w:rPr>
          <w:rFonts w:ascii="仿宋_GB2312" w:hAnsi="宋体" w:eastAsia="仿宋_GB2312"/>
          <w:bCs/>
          <w:sz w:val="32"/>
          <w:szCs w:val="32"/>
        </w:rPr>
        <w:t xml:space="preserve"> </w:t>
      </w:r>
    </w:p>
    <w:p>
      <w:pPr>
        <w:spacing w:before="120" w:after="120"/>
        <w:jc w:val="left"/>
        <w:rPr>
          <w:rFonts w:ascii="仿宋_GB2312" w:eastAsia="仿宋_GB2312"/>
          <w:b/>
          <w:sz w:val="32"/>
          <w:szCs w:val="32"/>
        </w:rPr>
      </w:pPr>
      <w:r>
        <w:rPr>
          <w:rFonts w:hint="eastAsia" w:ascii="仿宋_GB2312" w:hAnsi="宋体" w:eastAsia="仿宋_GB2312"/>
          <w:b/>
          <w:sz w:val="32"/>
          <w:szCs w:val="32"/>
        </w:rPr>
        <w:t>鉴于：</w:t>
      </w:r>
    </w:p>
    <w:p>
      <w:pPr>
        <w:widowControl/>
        <w:spacing w:before="100" w:beforeAutospacing="1" w:after="100" w:afterAutospacing="1" w:line="330" w:lineRule="atLeast"/>
        <w:ind w:firstLine="640" w:firstLineChars="200"/>
        <w:jc w:val="left"/>
        <w:rPr>
          <w:rFonts w:ascii="仿宋_GB2312" w:hAnsi="宋体" w:eastAsia="仿宋_GB2312"/>
          <w:sz w:val="32"/>
          <w:szCs w:val="32"/>
        </w:rPr>
      </w:pPr>
      <w:r>
        <w:rPr>
          <w:rFonts w:hint="eastAsia" w:ascii="仿宋_GB2312" w:hAnsi="宋体" w:eastAsia="仿宋_GB2312"/>
          <w:sz w:val="32"/>
          <w:szCs w:val="32"/>
        </w:rPr>
        <w:t>根据国务院国资委相关规定，甲方对资产评估机构备选库进行了公开评选，乙方通过公开招投标程序进入到本届备选库中。为此，协议双方在友好协商、平等互利的基础上达成本协议以资共同遵守，条款如下：</w:t>
      </w:r>
    </w:p>
    <w:p>
      <w:pPr>
        <w:numPr>
          <w:ilvl w:val="0"/>
          <w:numId w:val="1"/>
        </w:numPr>
        <w:rPr>
          <w:rFonts w:ascii="仿宋_GB2312" w:eastAsia="仿宋_GB2312"/>
          <w:b/>
          <w:sz w:val="32"/>
          <w:szCs w:val="32"/>
        </w:rPr>
      </w:pPr>
      <w:r>
        <w:rPr>
          <w:rFonts w:hint="eastAsia" w:ascii="仿宋_GB2312" w:eastAsia="仿宋_GB2312"/>
          <w:b/>
          <w:sz w:val="32"/>
          <w:szCs w:val="32"/>
        </w:rPr>
        <w:t>服务资格</w:t>
      </w:r>
    </w:p>
    <w:p>
      <w:pPr>
        <w:ind w:firstLine="640" w:firstLineChars="200"/>
        <w:rPr>
          <w:rFonts w:ascii="仿宋_GB2312" w:eastAsia="仿宋_GB2312"/>
          <w:sz w:val="32"/>
          <w:szCs w:val="32"/>
        </w:rPr>
      </w:pPr>
      <w:r>
        <w:rPr>
          <w:rFonts w:hint="eastAsia" w:ascii="仿宋_GB2312" w:eastAsia="仿宋_GB2312"/>
          <w:sz w:val="32"/>
          <w:szCs w:val="32"/>
        </w:rPr>
        <w:t>乙方承诺自身具备提供相关服务的资质资格以及相关条件。</w:t>
      </w:r>
    </w:p>
    <w:p>
      <w:pPr>
        <w:numPr>
          <w:ilvl w:val="0"/>
          <w:numId w:val="1"/>
        </w:numPr>
        <w:rPr>
          <w:rFonts w:ascii="仿宋_GB2312" w:eastAsia="仿宋_GB2312"/>
          <w:b/>
          <w:sz w:val="32"/>
          <w:szCs w:val="32"/>
        </w:rPr>
      </w:pPr>
      <w:r>
        <w:rPr>
          <w:rFonts w:hint="eastAsia" w:ascii="仿宋_GB2312" w:eastAsia="仿宋_GB2312"/>
          <w:b/>
          <w:sz w:val="32"/>
          <w:szCs w:val="32"/>
        </w:rPr>
        <w:t>服务范围</w:t>
      </w:r>
    </w:p>
    <w:p>
      <w:pPr>
        <w:spacing w:line="360" w:lineRule="auto"/>
        <w:ind w:firstLine="640" w:firstLineChars="200"/>
        <w:rPr>
          <w:rFonts w:ascii="仿宋_GB2312" w:eastAsia="仿宋_GB2312"/>
          <w:sz w:val="32"/>
          <w:szCs w:val="32"/>
        </w:rPr>
      </w:pPr>
      <w:r>
        <w:rPr>
          <w:rFonts w:hint="eastAsia" w:ascii="仿宋_GB2312" w:hAnsi="宋体" w:eastAsia="仿宋_GB2312"/>
          <w:sz w:val="32"/>
          <w:szCs w:val="32"/>
        </w:rPr>
        <w:t>乙方在本届备选库有效期内为甲方及其下属企业提供资产评估服务，并推荐业务骨干（参与过国务院国资委审核的专家）若干名参与组建甲方资产评估评审专家组，按甲方要求提供评审、咨询服务。具体</w:t>
      </w:r>
      <w:r>
        <w:rPr>
          <w:rFonts w:hint="eastAsia" w:ascii="仿宋_GB2312" w:eastAsia="仿宋_GB2312"/>
          <w:sz w:val="32"/>
          <w:szCs w:val="32"/>
        </w:rPr>
        <w:t>资产评估项目由乙方和委托方按照相关法律法规通过业务约定书等合同另行约定。</w:t>
      </w:r>
    </w:p>
    <w:p>
      <w:pPr>
        <w:numPr>
          <w:ilvl w:val="0"/>
          <w:numId w:val="1"/>
        </w:numPr>
        <w:spacing w:line="360" w:lineRule="auto"/>
        <w:rPr>
          <w:rFonts w:ascii="仿宋_GB2312" w:eastAsia="仿宋_GB2312"/>
          <w:b/>
          <w:sz w:val="32"/>
          <w:szCs w:val="32"/>
        </w:rPr>
      </w:pPr>
      <w:r>
        <w:rPr>
          <w:rFonts w:hint="eastAsia" w:ascii="仿宋_GB2312" w:eastAsia="仿宋_GB2312"/>
          <w:b/>
          <w:sz w:val="32"/>
          <w:szCs w:val="32"/>
        </w:rPr>
        <w:t>服务原则</w:t>
      </w:r>
    </w:p>
    <w:p>
      <w:pPr>
        <w:pStyle w:val="7"/>
        <w:numPr>
          <w:ilvl w:val="0"/>
          <w:numId w:val="2"/>
        </w:numPr>
        <w:spacing w:line="360" w:lineRule="auto"/>
        <w:ind w:left="0" w:firstLine="707" w:firstLineChars="221"/>
        <w:rPr>
          <w:rFonts w:ascii="仿宋_GB2312" w:eastAsia="仿宋_GB2312"/>
          <w:sz w:val="32"/>
          <w:szCs w:val="32"/>
        </w:rPr>
      </w:pPr>
      <w:r>
        <w:rPr>
          <w:rFonts w:hint="eastAsia" w:ascii="仿宋_GB2312" w:eastAsia="仿宋_GB2312"/>
          <w:sz w:val="32"/>
          <w:szCs w:val="32"/>
        </w:rPr>
        <w:t>乙方应坚持独立、客观、公正、合法的工作原则，根据服务内容和工作进度的实际需要，保证人力物力的充足投入，按时保质的提交符合国家法律法规、行业相关准则、企业国有资产评估报告指南等标准的报告，并全力配合该报告通过有关部门的备案或核准程序；</w:t>
      </w:r>
    </w:p>
    <w:p>
      <w:pPr>
        <w:pStyle w:val="7"/>
        <w:numPr>
          <w:ilvl w:val="0"/>
          <w:numId w:val="2"/>
        </w:numPr>
        <w:spacing w:line="360" w:lineRule="auto"/>
        <w:ind w:left="0" w:firstLine="707" w:firstLineChars="221"/>
        <w:rPr>
          <w:rFonts w:ascii="仿宋_GB2312" w:eastAsia="仿宋_GB2312"/>
          <w:sz w:val="32"/>
          <w:szCs w:val="32"/>
        </w:rPr>
      </w:pPr>
      <w:r>
        <w:rPr>
          <w:rFonts w:hint="eastAsia" w:ascii="仿宋_GB2312" w:eastAsia="仿宋_GB2312"/>
          <w:sz w:val="32"/>
          <w:szCs w:val="32"/>
        </w:rPr>
        <w:t>乙方对执行业务过程中所获悉的属于甲方及其下属企业无法自公开渠道获得的信息（包括</w:t>
      </w:r>
      <w:r>
        <w:rPr>
          <w:rFonts w:hint="eastAsia" w:eastAsia="仿宋_GB2312" w:asciiTheme="minorHAnsi" w:hAnsiTheme="minorHAnsi"/>
          <w:sz w:val="32"/>
          <w:szCs w:val="32"/>
        </w:rPr>
        <w:t>国家秘密、</w:t>
      </w:r>
      <w:r>
        <w:rPr>
          <w:rFonts w:hint="eastAsia" w:ascii="仿宋_GB2312" w:eastAsia="仿宋_GB2312"/>
          <w:sz w:val="32"/>
          <w:szCs w:val="32"/>
        </w:rPr>
        <w:t>商业秘密、公司计划、运营活动、财务信息、技术信息、经营信息等）予以保密，且保密责任不因本协议的终止而终止。</w:t>
      </w:r>
    </w:p>
    <w:p>
      <w:pPr>
        <w:pStyle w:val="7"/>
        <w:numPr>
          <w:ilvl w:val="0"/>
          <w:numId w:val="1"/>
        </w:numPr>
        <w:spacing w:line="360" w:lineRule="auto"/>
        <w:ind w:firstLineChars="0"/>
        <w:rPr>
          <w:rFonts w:ascii="仿宋_GB2312" w:eastAsia="仿宋_GB2312"/>
          <w:b/>
          <w:sz w:val="32"/>
          <w:szCs w:val="32"/>
        </w:rPr>
      </w:pPr>
      <w:r>
        <w:rPr>
          <w:rFonts w:hint="eastAsia" w:ascii="仿宋_GB2312" w:eastAsia="仿宋_GB2312"/>
          <w:b/>
          <w:sz w:val="32"/>
          <w:szCs w:val="32"/>
        </w:rPr>
        <w:t>服务价格</w:t>
      </w:r>
    </w:p>
    <w:p>
      <w:pPr>
        <w:spacing w:line="360" w:lineRule="auto"/>
        <w:ind w:firstLine="640" w:firstLineChars="200"/>
        <w:rPr>
          <w:rFonts w:ascii="仿宋_GB2312" w:eastAsia="仿宋_GB2312"/>
          <w:color w:val="000000"/>
          <w:sz w:val="32"/>
          <w:szCs w:val="32"/>
        </w:rPr>
      </w:pPr>
      <w:r>
        <w:rPr>
          <w:rFonts w:hint="eastAsia" w:ascii="仿宋_GB2312" w:eastAsia="仿宋_GB2312"/>
          <w:sz w:val="32"/>
          <w:szCs w:val="32"/>
        </w:rPr>
        <w:t>乙方收取服务费用应</w:t>
      </w:r>
      <w:r>
        <w:rPr>
          <w:rFonts w:hint="eastAsia" w:ascii="仿宋_GB2312" w:eastAsia="仿宋_GB2312"/>
          <w:color w:val="000000"/>
          <w:sz w:val="32"/>
          <w:szCs w:val="32"/>
        </w:rPr>
        <w:t>本着公正、公平、公开的原则，交易价格原则上应按照交易当时的市场价格和投标文件中承诺的费率折扣确定。</w:t>
      </w:r>
    </w:p>
    <w:p>
      <w:pPr>
        <w:pStyle w:val="7"/>
        <w:numPr>
          <w:ilvl w:val="0"/>
          <w:numId w:val="1"/>
        </w:numPr>
        <w:spacing w:line="360" w:lineRule="auto"/>
        <w:ind w:firstLineChars="0"/>
        <w:rPr>
          <w:rFonts w:ascii="仿宋_GB2312" w:eastAsia="仿宋_GB2312"/>
          <w:b/>
          <w:sz w:val="32"/>
          <w:szCs w:val="32"/>
        </w:rPr>
      </w:pPr>
      <w:r>
        <w:rPr>
          <w:rFonts w:hint="eastAsia" w:ascii="仿宋_GB2312" w:eastAsia="仿宋_GB2312"/>
          <w:b/>
          <w:sz w:val="32"/>
          <w:szCs w:val="32"/>
        </w:rPr>
        <w:t>责任条款</w:t>
      </w:r>
    </w:p>
    <w:p>
      <w:pPr>
        <w:pStyle w:val="7"/>
        <w:ind w:firstLine="707" w:firstLineChars="221"/>
        <w:rPr>
          <w:rFonts w:ascii="仿宋_GB2312" w:eastAsia="仿宋_GB2312"/>
          <w:sz w:val="32"/>
          <w:szCs w:val="32"/>
        </w:rPr>
      </w:pPr>
      <w:r>
        <w:rPr>
          <w:rFonts w:hint="eastAsia" w:ascii="仿宋_GB2312" w:eastAsia="仿宋_GB2312"/>
          <w:sz w:val="32"/>
          <w:szCs w:val="32"/>
        </w:rPr>
        <w:t>（一）因违法违规执业受到业务主管部门或其他监管部门的立案调查的，必须在收到立案调查通知起的5个工作日内主动告知甲方，甲方有权根据相关情况调整乙方在中交集团内的执业范围和时间。</w:t>
      </w:r>
    </w:p>
    <w:p>
      <w:pPr>
        <w:spacing w:line="360" w:lineRule="auto"/>
        <w:ind w:firstLine="640" w:firstLineChars="200"/>
        <w:rPr>
          <w:rFonts w:ascii="仿宋_GB2312" w:eastAsia="仿宋_GB2312"/>
          <w:sz w:val="32"/>
          <w:szCs w:val="32"/>
        </w:rPr>
      </w:pPr>
      <w:r>
        <w:rPr>
          <w:rFonts w:hint="eastAsia" w:ascii="仿宋_GB2312" w:eastAsia="仿宋_GB2312"/>
          <w:sz w:val="32"/>
          <w:szCs w:val="32"/>
        </w:rPr>
        <w:t>（二）乙方如因违法违规执业等受到行政处罚或者行业协会惩戒，必须在收到处罚决定后5个工作日内主动告知甲方。</w:t>
      </w:r>
    </w:p>
    <w:p>
      <w:pPr>
        <w:spacing w:line="360" w:lineRule="auto"/>
        <w:ind w:firstLine="707" w:firstLineChars="221"/>
        <w:rPr>
          <w:rFonts w:ascii="仿宋_GB2312" w:eastAsia="仿宋_GB2312"/>
          <w:sz w:val="32"/>
          <w:szCs w:val="32"/>
        </w:rPr>
      </w:pPr>
      <w:r>
        <w:rPr>
          <w:rFonts w:hint="eastAsia" w:ascii="仿宋_GB2312" w:eastAsia="仿宋_GB2312"/>
          <w:sz w:val="32"/>
          <w:szCs w:val="32"/>
        </w:rPr>
        <w:t>（三）乙方出现下列情形之一的，甲方有权要求乙方制订整改措施并限期3个月完成整改。甲方认为整改不见成效有权解除乙方与甲方及其下属企业签署的相关协议，不再支付相关服务费用或要求乙方承担违约责任，同时将相关情况报告国务院国资委：</w:t>
      </w:r>
    </w:p>
    <w:p>
      <w:pPr>
        <w:pStyle w:val="7"/>
        <w:numPr>
          <w:ilvl w:val="0"/>
          <w:numId w:val="3"/>
        </w:numPr>
        <w:spacing w:line="360" w:lineRule="auto"/>
        <w:ind w:left="0" w:firstLine="709" w:firstLineChars="0"/>
        <w:rPr>
          <w:rFonts w:ascii="仿宋_GB2312" w:eastAsia="仿宋_GB2312"/>
          <w:sz w:val="32"/>
          <w:szCs w:val="32"/>
        </w:rPr>
      </w:pPr>
      <w:r>
        <w:rPr>
          <w:rFonts w:hint="eastAsia" w:ascii="仿宋_GB2312" w:eastAsia="仿宋_GB2312"/>
          <w:sz w:val="32"/>
          <w:szCs w:val="32"/>
        </w:rPr>
        <w:t>以恶性压价、支付回扣、虚假宣传或者贬损、诋毁其他评估机构等不正当手段招揽业务的；</w:t>
      </w:r>
    </w:p>
    <w:p>
      <w:pPr>
        <w:pStyle w:val="7"/>
        <w:numPr>
          <w:ilvl w:val="0"/>
          <w:numId w:val="3"/>
        </w:numPr>
        <w:spacing w:line="360" w:lineRule="auto"/>
        <w:ind w:left="0" w:firstLine="709" w:firstLineChars="0"/>
        <w:rPr>
          <w:rFonts w:ascii="仿宋_GB2312" w:eastAsia="仿宋_GB2312"/>
          <w:sz w:val="32"/>
          <w:szCs w:val="32"/>
        </w:rPr>
      </w:pPr>
      <w:r>
        <w:rPr>
          <w:rFonts w:hint="eastAsia" w:ascii="仿宋_GB2312" w:eastAsia="仿宋_GB2312"/>
          <w:sz w:val="32"/>
          <w:szCs w:val="32"/>
        </w:rPr>
        <w:t>未能按业务约定书要求派出足够数量、相应执业能力的评估师执业的；</w:t>
      </w:r>
    </w:p>
    <w:p>
      <w:pPr>
        <w:pStyle w:val="7"/>
        <w:numPr>
          <w:ilvl w:val="0"/>
          <w:numId w:val="3"/>
        </w:numPr>
        <w:spacing w:line="360" w:lineRule="auto"/>
        <w:ind w:left="0" w:firstLine="709" w:firstLineChars="0"/>
        <w:rPr>
          <w:rFonts w:ascii="仿宋_GB2312" w:eastAsia="仿宋_GB2312"/>
          <w:sz w:val="32"/>
          <w:szCs w:val="32"/>
        </w:rPr>
      </w:pPr>
      <w:r>
        <w:rPr>
          <w:rFonts w:hint="eastAsia" w:ascii="仿宋_GB2312" w:eastAsia="仿宋_GB2312"/>
          <w:sz w:val="32"/>
          <w:szCs w:val="32"/>
        </w:rPr>
        <w:t>分别接受利益冲突双方的委托，对同一评估对象进行评估的；</w:t>
      </w:r>
    </w:p>
    <w:p>
      <w:pPr>
        <w:pStyle w:val="7"/>
        <w:numPr>
          <w:ilvl w:val="0"/>
          <w:numId w:val="3"/>
        </w:numPr>
        <w:spacing w:line="360" w:lineRule="auto"/>
        <w:ind w:left="0" w:firstLine="709" w:firstLineChars="0"/>
        <w:rPr>
          <w:rFonts w:ascii="仿宋_GB2312" w:eastAsia="仿宋_GB2312"/>
          <w:sz w:val="32"/>
          <w:szCs w:val="32"/>
        </w:rPr>
      </w:pPr>
      <w:r>
        <w:rPr>
          <w:rFonts w:hint="eastAsia" w:ascii="仿宋_GB2312" w:eastAsia="仿宋_GB2312"/>
          <w:sz w:val="32"/>
          <w:szCs w:val="32"/>
        </w:rPr>
        <w:t>企业资产评估项目接受国资委等国家机构监督检查时，不配合相关工作的；</w:t>
      </w:r>
    </w:p>
    <w:p>
      <w:pPr>
        <w:pStyle w:val="7"/>
        <w:numPr>
          <w:ilvl w:val="0"/>
          <w:numId w:val="3"/>
        </w:numPr>
        <w:spacing w:line="360" w:lineRule="auto"/>
        <w:ind w:left="0" w:firstLine="709" w:firstLineChars="0"/>
        <w:rPr>
          <w:rFonts w:ascii="仿宋_GB2312" w:eastAsia="仿宋_GB2312"/>
          <w:sz w:val="32"/>
          <w:szCs w:val="32"/>
        </w:rPr>
      </w:pPr>
      <w:r>
        <w:rPr>
          <w:rFonts w:hint="eastAsia" w:ascii="仿宋_GB2312" w:eastAsia="仿宋_GB2312"/>
          <w:sz w:val="32"/>
          <w:szCs w:val="32"/>
        </w:rPr>
        <w:t>受理与自身有利害关系业务的；</w:t>
      </w:r>
    </w:p>
    <w:p>
      <w:pPr>
        <w:pStyle w:val="7"/>
        <w:numPr>
          <w:ilvl w:val="0"/>
          <w:numId w:val="3"/>
        </w:numPr>
        <w:spacing w:line="360" w:lineRule="auto"/>
        <w:ind w:left="0" w:firstLine="709" w:firstLineChars="0"/>
        <w:rPr>
          <w:rFonts w:ascii="仿宋_GB2312" w:eastAsia="仿宋_GB2312"/>
          <w:sz w:val="32"/>
          <w:szCs w:val="32"/>
        </w:rPr>
      </w:pPr>
      <w:r>
        <w:rPr>
          <w:rFonts w:hint="eastAsia" w:ascii="仿宋_GB2312" w:eastAsia="仿宋_GB2312"/>
          <w:sz w:val="32"/>
          <w:szCs w:val="32"/>
        </w:rPr>
        <w:t>受到行业协会警告、限期整改惩戒的。</w:t>
      </w:r>
    </w:p>
    <w:p>
      <w:pPr>
        <w:pStyle w:val="7"/>
        <w:spacing w:line="360" w:lineRule="auto"/>
        <w:ind w:firstLine="566" w:firstLineChars="177"/>
        <w:rPr>
          <w:rFonts w:ascii="仿宋_GB2312" w:eastAsia="仿宋_GB2312"/>
          <w:sz w:val="32"/>
          <w:szCs w:val="32"/>
        </w:rPr>
      </w:pPr>
      <w:r>
        <w:rPr>
          <w:rFonts w:hint="eastAsia" w:ascii="仿宋_GB2312" w:eastAsia="仿宋_GB2312"/>
          <w:sz w:val="32"/>
          <w:szCs w:val="32"/>
        </w:rPr>
        <w:t>（四）乙方有下列情形之一的，甲方有权解除乙方与甲方及其下属企业签署的相关协议，不再支付相关服务费用或要求乙方承担违约责任，并取消乙方在本届备选库资格，同时将相关情况报告国务院国资委。甲方下一次调整资产评估机构备选库时，乙方不再出现下列情形的，可申请参与选聘：</w:t>
      </w:r>
    </w:p>
    <w:p>
      <w:pPr>
        <w:pStyle w:val="7"/>
        <w:numPr>
          <w:ilvl w:val="0"/>
          <w:numId w:val="4"/>
        </w:numPr>
        <w:spacing w:line="360" w:lineRule="auto"/>
        <w:ind w:left="0" w:firstLine="709" w:firstLineChars="0"/>
        <w:rPr>
          <w:rFonts w:ascii="仿宋_GB2312" w:eastAsia="仿宋_GB2312"/>
          <w:sz w:val="32"/>
          <w:szCs w:val="32"/>
        </w:rPr>
      </w:pPr>
      <w:r>
        <w:rPr>
          <w:rFonts w:hint="eastAsia" w:ascii="仿宋_GB2312" w:eastAsia="仿宋_GB2312"/>
          <w:sz w:val="32"/>
          <w:szCs w:val="32"/>
        </w:rPr>
        <w:t>履行评估程序严重不到位的；</w:t>
      </w:r>
    </w:p>
    <w:p>
      <w:pPr>
        <w:pStyle w:val="7"/>
        <w:numPr>
          <w:ilvl w:val="0"/>
          <w:numId w:val="4"/>
        </w:numPr>
        <w:spacing w:line="360" w:lineRule="auto"/>
        <w:ind w:left="0" w:firstLine="709" w:firstLineChars="0"/>
        <w:rPr>
          <w:rFonts w:ascii="仿宋_GB2312" w:eastAsia="仿宋_GB2312"/>
          <w:sz w:val="32"/>
          <w:szCs w:val="32"/>
        </w:rPr>
      </w:pPr>
      <w:r>
        <w:rPr>
          <w:rFonts w:hint="eastAsia" w:ascii="仿宋_GB2312" w:eastAsia="仿宋_GB2312"/>
          <w:sz w:val="32"/>
          <w:szCs w:val="32"/>
        </w:rPr>
        <w:t>出具虚假评估报告或有重大遗漏评估报告的；</w:t>
      </w:r>
    </w:p>
    <w:p>
      <w:pPr>
        <w:pStyle w:val="7"/>
        <w:numPr>
          <w:ilvl w:val="0"/>
          <w:numId w:val="4"/>
        </w:numPr>
        <w:spacing w:line="360" w:lineRule="auto"/>
        <w:ind w:left="0" w:firstLine="709" w:firstLineChars="0"/>
        <w:rPr>
          <w:rFonts w:ascii="仿宋_GB2312" w:eastAsia="仿宋_GB2312"/>
          <w:sz w:val="32"/>
          <w:szCs w:val="32"/>
        </w:rPr>
      </w:pPr>
      <w:r>
        <w:rPr>
          <w:rFonts w:hint="eastAsia" w:ascii="仿宋_GB2312" w:eastAsia="仿宋_GB2312"/>
          <w:sz w:val="32"/>
          <w:szCs w:val="32"/>
        </w:rPr>
        <w:t>利用开展业务之变，谋取不正当利益的；</w:t>
      </w:r>
    </w:p>
    <w:p>
      <w:pPr>
        <w:pStyle w:val="7"/>
        <w:numPr>
          <w:ilvl w:val="0"/>
          <w:numId w:val="4"/>
        </w:numPr>
        <w:spacing w:line="360" w:lineRule="auto"/>
        <w:ind w:left="0" w:firstLine="709" w:firstLineChars="0"/>
        <w:rPr>
          <w:rFonts w:ascii="仿宋_GB2312" w:eastAsia="仿宋_GB2312"/>
          <w:sz w:val="32"/>
          <w:szCs w:val="32"/>
        </w:rPr>
      </w:pPr>
      <w:r>
        <w:rPr>
          <w:rFonts w:hint="eastAsia" w:ascii="仿宋_GB2312" w:eastAsia="仿宋_GB2312"/>
          <w:sz w:val="32"/>
          <w:szCs w:val="32"/>
        </w:rPr>
        <w:t>受到行业协会行业内通报批评惩戒的。</w:t>
      </w:r>
    </w:p>
    <w:p>
      <w:pPr>
        <w:spacing w:line="360" w:lineRule="auto"/>
        <w:ind w:firstLine="640" w:firstLineChars="200"/>
        <w:rPr>
          <w:rFonts w:ascii="仿宋_GB2312" w:eastAsia="仿宋_GB2312"/>
          <w:sz w:val="32"/>
          <w:szCs w:val="32"/>
        </w:rPr>
      </w:pPr>
      <w:r>
        <w:rPr>
          <w:rFonts w:hint="eastAsia" w:ascii="仿宋_GB2312" w:eastAsia="仿宋_GB2312"/>
          <w:sz w:val="32"/>
          <w:szCs w:val="32"/>
        </w:rPr>
        <w:t>（五）乙方有下列情形之一的，甲方有权解除乙方与甲方及其下属企业签署的相关协议，不再支付相关服务费用或要求乙方承担违约责任</w:t>
      </w:r>
      <w:r>
        <w:rPr>
          <w:rFonts w:hint="eastAsia" w:eastAsia="仿宋_GB2312" w:asciiTheme="minorHAnsi" w:hAnsiTheme="minorHAnsi"/>
          <w:sz w:val="32"/>
          <w:szCs w:val="32"/>
        </w:rPr>
        <w:t>、缔约过失责任或违法责任</w:t>
      </w:r>
      <w:r>
        <w:rPr>
          <w:rFonts w:hint="eastAsia" w:ascii="仿宋_GB2312" w:eastAsia="仿宋_GB2312"/>
          <w:sz w:val="32"/>
          <w:szCs w:val="32"/>
        </w:rPr>
        <w:t>，并取消乙方在本届备选库资格，同时将相关情况报告国务院国资委。甲方下一次调整资产评估机构备选库时，乙方近三年内未出现下列情形的，可申请参与选聘：</w:t>
      </w:r>
    </w:p>
    <w:p>
      <w:pPr>
        <w:pStyle w:val="7"/>
        <w:numPr>
          <w:ilvl w:val="0"/>
          <w:numId w:val="5"/>
        </w:numPr>
        <w:spacing w:line="360" w:lineRule="auto"/>
        <w:ind w:left="0" w:firstLine="709" w:firstLineChars="0"/>
        <w:rPr>
          <w:rFonts w:ascii="仿宋_GB2312" w:eastAsia="仿宋_GB2312"/>
          <w:sz w:val="32"/>
          <w:szCs w:val="32"/>
        </w:rPr>
      </w:pPr>
      <w:r>
        <w:rPr>
          <w:rFonts w:hint="eastAsia" w:ascii="仿宋_GB2312" w:eastAsia="仿宋_GB2312"/>
          <w:sz w:val="32"/>
          <w:szCs w:val="32"/>
        </w:rPr>
        <w:t>以欺诈、利诱、强迫等不正当手段取得评估业务的；</w:t>
      </w:r>
    </w:p>
    <w:p>
      <w:pPr>
        <w:pStyle w:val="7"/>
        <w:numPr>
          <w:ilvl w:val="0"/>
          <w:numId w:val="5"/>
        </w:numPr>
        <w:spacing w:line="360" w:lineRule="auto"/>
        <w:ind w:left="0" w:firstLine="709" w:firstLineChars="0"/>
        <w:rPr>
          <w:rFonts w:ascii="仿宋_GB2312" w:eastAsia="仿宋_GB2312"/>
          <w:sz w:val="32"/>
          <w:szCs w:val="32"/>
        </w:rPr>
      </w:pPr>
      <w:r>
        <w:rPr>
          <w:rFonts w:hint="eastAsia" w:ascii="仿宋_GB2312" w:eastAsia="仿宋_GB2312"/>
          <w:sz w:val="32"/>
          <w:szCs w:val="32"/>
        </w:rPr>
        <w:t>与评估项目相关单位串通作弊，出具虚假或具有误导性评估报告的；</w:t>
      </w:r>
    </w:p>
    <w:p>
      <w:pPr>
        <w:pStyle w:val="7"/>
        <w:numPr>
          <w:ilvl w:val="0"/>
          <w:numId w:val="5"/>
        </w:numPr>
        <w:spacing w:line="360" w:lineRule="auto"/>
        <w:ind w:left="0" w:firstLine="709" w:firstLineChars="0"/>
        <w:rPr>
          <w:rFonts w:ascii="仿宋_GB2312" w:eastAsia="仿宋_GB2312"/>
          <w:sz w:val="32"/>
          <w:szCs w:val="32"/>
        </w:rPr>
      </w:pPr>
      <w:r>
        <w:rPr>
          <w:rFonts w:hint="eastAsia" w:ascii="仿宋_GB2312" w:eastAsia="仿宋_GB2312"/>
          <w:sz w:val="32"/>
          <w:szCs w:val="32"/>
        </w:rPr>
        <w:t>经相关部门依法认定，出具的评估结果严重偏离评估标的客观价值的；</w:t>
      </w:r>
    </w:p>
    <w:p>
      <w:pPr>
        <w:pStyle w:val="7"/>
        <w:numPr>
          <w:ilvl w:val="0"/>
          <w:numId w:val="5"/>
        </w:numPr>
        <w:spacing w:line="360" w:lineRule="auto"/>
        <w:ind w:left="0" w:firstLine="709" w:firstLineChars="0"/>
        <w:rPr>
          <w:rFonts w:ascii="仿宋_GB2312" w:eastAsia="仿宋_GB2312"/>
          <w:sz w:val="32"/>
          <w:szCs w:val="32"/>
        </w:rPr>
      </w:pPr>
      <w:r>
        <w:rPr>
          <w:rFonts w:hint="eastAsia" w:ascii="仿宋_GB2312" w:eastAsia="仿宋_GB2312"/>
          <w:sz w:val="32"/>
          <w:szCs w:val="32"/>
        </w:rPr>
        <w:t>泄露国家秘密或企业商业秘密的；</w:t>
      </w:r>
    </w:p>
    <w:p>
      <w:pPr>
        <w:pStyle w:val="7"/>
        <w:numPr>
          <w:ilvl w:val="0"/>
          <w:numId w:val="5"/>
        </w:numPr>
        <w:spacing w:line="360" w:lineRule="auto"/>
        <w:ind w:left="0" w:firstLine="709" w:firstLineChars="0"/>
        <w:rPr>
          <w:rFonts w:ascii="仿宋_GB2312" w:eastAsia="仿宋_GB2312"/>
          <w:sz w:val="32"/>
          <w:szCs w:val="32"/>
        </w:rPr>
      </w:pPr>
      <w:r>
        <w:rPr>
          <w:rFonts w:hint="eastAsia" w:ascii="仿宋_GB2312" w:eastAsia="仿宋_GB2312"/>
          <w:sz w:val="32"/>
          <w:szCs w:val="32"/>
        </w:rPr>
        <w:t>因违法违规执业受到业务主管部门或其他监管部门的处罚，情节严重的；</w:t>
      </w:r>
    </w:p>
    <w:p>
      <w:pPr>
        <w:pStyle w:val="7"/>
        <w:numPr>
          <w:ilvl w:val="0"/>
          <w:numId w:val="5"/>
        </w:numPr>
        <w:spacing w:line="360" w:lineRule="auto"/>
        <w:ind w:left="0" w:firstLine="709" w:firstLineChars="0"/>
        <w:rPr>
          <w:rFonts w:ascii="仿宋_GB2312" w:eastAsia="仿宋_GB2312"/>
          <w:sz w:val="32"/>
          <w:szCs w:val="32"/>
        </w:rPr>
      </w:pPr>
      <w:r>
        <w:rPr>
          <w:rFonts w:hint="eastAsia" w:ascii="仿宋_GB2312" w:eastAsia="仿宋_GB2312"/>
          <w:sz w:val="32"/>
          <w:szCs w:val="32"/>
        </w:rPr>
        <w:t>受到行业协会公开谴责惩戒的；</w:t>
      </w:r>
    </w:p>
    <w:p>
      <w:pPr>
        <w:pStyle w:val="7"/>
        <w:numPr>
          <w:ilvl w:val="0"/>
          <w:numId w:val="5"/>
        </w:numPr>
        <w:spacing w:line="360" w:lineRule="auto"/>
        <w:ind w:left="0" w:firstLine="709" w:firstLineChars="0"/>
        <w:rPr>
          <w:rFonts w:ascii="仿宋_GB2312" w:eastAsia="仿宋_GB2312"/>
          <w:sz w:val="32"/>
          <w:szCs w:val="32"/>
        </w:rPr>
      </w:pPr>
      <w:r>
        <w:rPr>
          <w:rFonts w:hint="eastAsia" w:ascii="仿宋_GB2312" w:eastAsia="仿宋_GB2312"/>
          <w:sz w:val="32"/>
          <w:szCs w:val="32"/>
        </w:rPr>
        <w:t>因违法违规执业受到相关部门处罚后，未及时告知甲方的；</w:t>
      </w:r>
    </w:p>
    <w:p>
      <w:pPr>
        <w:pStyle w:val="7"/>
        <w:numPr>
          <w:ilvl w:val="0"/>
          <w:numId w:val="5"/>
        </w:numPr>
        <w:spacing w:line="360" w:lineRule="auto"/>
        <w:ind w:left="0" w:firstLine="709" w:firstLineChars="0"/>
        <w:rPr>
          <w:rFonts w:ascii="仿宋_GB2312" w:eastAsia="仿宋_GB2312"/>
          <w:sz w:val="32"/>
          <w:szCs w:val="32"/>
        </w:rPr>
      </w:pPr>
      <w:r>
        <w:rPr>
          <w:rFonts w:hint="eastAsia" w:ascii="仿宋_GB2312" w:eastAsia="仿宋_GB2312"/>
          <w:sz w:val="32"/>
          <w:szCs w:val="32"/>
        </w:rPr>
        <w:t>其他造成国有资产流失的情形。</w:t>
      </w:r>
    </w:p>
    <w:p>
      <w:pPr>
        <w:pStyle w:val="7"/>
        <w:spacing w:line="360" w:lineRule="auto"/>
        <w:ind w:left="142" w:firstLine="566" w:firstLineChars="177"/>
        <w:rPr>
          <w:rFonts w:ascii="仿宋_GB2312" w:eastAsia="仿宋_GB2312"/>
          <w:sz w:val="32"/>
          <w:szCs w:val="32"/>
        </w:rPr>
      </w:pPr>
      <w:r>
        <w:rPr>
          <w:rFonts w:hint="eastAsia" w:ascii="仿宋_GB2312" w:eastAsia="仿宋_GB2312"/>
          <w:sz w:val="32"/>
          <w:szCs w:val="32"/>
        </w:rPr>
        <w:t>（六）乙方需指定本单位的核心联系人，负责本单位与甲方的沟通联络及所属分支机构联系人的管理。对本单位发生的重大变化及所有联系人的变动应及时通知甲方，由此造成的相关损失由乙方自行承担。</w:t>
      </w:r>
    </w:p>
    <w:p>
      <w:pPr>
        <w:pStyle w:val="7"/>
        <w:spacing w:line="360" w:lineRule="auto"/>
        <w:ind w:firstLine="566" w:firstLineChars="177"/>
        <w:rPr>
          <w:rFonts w:ascii="仿宋_GB2312" w:eastAsia="仿宋_GB2312"/>
          <w:sz w:val="32"/>
          <w:szCs w:val="32"/>
        </w:rPr>
      </w:pPr>
      <w:r>
        <w:rPr>
          <w:rFonts w:hint="eastAsia" w:ascii="仿宋_GB2312" w:eastAsia="仿宋_GB2312"/>
          <w:sz w:val="32"/>
          <w:szCs w:val="32"/>
        </w:rPr>
        <w:t>（七）乙方应配合甲方评估报告审核的需要，提供通过乙方内审且具有评估报告编号的Word和Excle版本的评估报告、评估说明、评估明细表等资料（收益法需提供测算表）。对甲方出具的评估报告审核意见，乙方需书面详细回答，加盖乙方公章后反馈给甲方（或委托方）。</w:t>
      </w:r>
    </w:p>
    <w:p>
      <w:pPr>
        <w:pStyle w:val="7"/>
        <w:numPr>
          <w:ilvl w:val="0"/>
          <w:numId w:val="1"/>
        </w:numPr>
        <w:spacing w:line="360" w:lineRule="auto"/>
        <w:ind w:firstLineChars="0"/>
        <w:rPr>
          <w:rFonts w:ascii="仿宋_GB2312" w:eastAsia="仿宋_GB2312"/>
          <w:b/>
          <w:sz w:val="32"/>
          <w:szCs w:val="32"/>
        </w:rPr>
      </w:pPr>
      <w:r>
        <w:rPr>
          <w:rFonts w:hint="eastAsia" w:ascii="仿宋_GB2312" w:eastAsia="仿宋_GB2312"/>
          <w:b/>
          <w:sz w:val="32"/>
          <w:szCs w:val="32"/>
        </w:rPr>
        <w:t>争议解决</w:t>
      </w:r>
    </w:p>
    <w:p>
      <w:pPr>
        <w:spacing w:line="360" w:lineRule="auto"/>
        <w:ind w:firstLine="640" w:firstLineChars="200"/>
        <w:rPr>
          <w:rFonts w:ascii="仿宋_GB2312" w:eastAsia="仿宋_GB2312"/>
          <w:sz w:val="32"/>
          <w:szCs w:val="32"/>
        </w:rPr>
      </w:pPr>
      <w:r>
        <w:rPr>
          <w:rFonts w:hint="eastAsia" w:ascii="仿宋_GB2312" w:eastAsia="仿宋_GB2312"/>
          <w:sz w:val="32"/>
          <w:szCs w:val="32"/>
        </w:rPr>
        <w:t xml:space="preserve">任何与本协议有关的或由于本协议而产生的争议应由协议双方通过友好协商解决。如不能协商解决，提交甲方所在地人民法院通过诉讼解决。 </w:t>
      </w:r>
    </w:p>
    <w:p>
      <w:pPr>
        <w:pStyle w:val="7"/>
        <w:numPr>
          <w:ilvl w:val="0"/>
          <w:numId w:val="1"/>
        </w:numPr>
        <w:spacing w:line="360" w:lineRule="auto"/>
        <w:ind w:firstLineChars="0"/>
        <w:rPr>
          <w:rFonts w:ascii="仿宋_GB2312" w:eastAsia="仿宋_GB2312"/>
          <w:b/>
          <w:sz w:val="32"/>
          <w:szCs w:val="32"/>
        </w:rPr>
      </w:pPr>
      <w:r>
        <w:rPr>
          <w:rFonts w:hint="eastAsia" w:ascii="仿宋_GB2312" w:eastAsia="仿宋_GB2312"/>
          <w:b/>
          <w:sz w:val="32"/>
          <w:szCs w:val="32"/>
        </w:rPr>
        <w:t>其他事项</w:t>
      </w:r>
    </w:p>
    <w:p>
      <w:pPr>
        <w:pStyle w:val="7"/>
        <w:numPr>
          <w:ilvl w:val="0"/>
          <w:numId w:val="6"/>
        </w:numPr>
        <w:spacing w:line="360" w:lineRule="auto"/>
        <w:ind w:firstLineChars="0"/>
        <w:rPr>
          <w:rFonts w:ascii="仿宋_GB2312" w:eastAsia="仿宋_GB2312"/>
          <w:sz w:val="32"/>
          <w:szCs w:val="32"/>
        </w:rPr>
      </w:pPr>
      <w:r>
        <w:rPr>
          <w:rFonts w:hint="eastAsia" w:ascii="仿宋_GB2312" w:eastAsia="仿宋_GB2312"/>
          <w:sz w:val="32"/>
          <w:szCs w:val="32"/>
        </w:rPr>
        <w:t>本协议一式二份，双方各执一份，经双方签字盖章后生效；</w:t>
      </w:r>
    </w:p>
    <w:p>
      <w:pPr>
        <w:pStyle w:val="7"/>
        <w:numPr>
          <w:ilvl w:val="0"/>
          <w:numId w:val="6"/>
        </w:numPr>
        <w:spacing w:line="360" w:lineRule="auto"/>
        <w:ind w:firstLineChars="0"/>
        <w:rPr>
          <w:rFonts w:ascii="仿宋_GB2312" w:eastAsia="仿宋_GB2312"/>
          <w:b/>
          <w:sz w:val="32"/>
          <w:szCs w:val="32"/>
        </w:rPr>
      </w:pPr>
      <w:r>
        <w:rPr>
          <w:rFonts w:hint="eastAsia" w:ascii="仿宋_GB2312" w:eastAsia="仿宋_GB2312"/>
          <w:sz w:val="32"/>
          <w:szCs w:val="32"/>
        </w:rPr>
        <w:t>除非经协议双方书面同意，任何一方不得擅自修改；</w:t>
      </w:r>
    </w:p>
    <w:p>
      <w:pPr>
        <w:pStyle w:val="7"/>
        <w:numPr>
          <w:ilvl w:val="0"/>
          <w:numId w:val="6"/>
        </w:numPr>
        <w:spacing w:line="360" w:lineRule="auto"/>
        <w:ind w:firstLineChars="0"/>
        <w:rPr>
          <w:rFonts w:ascii="仿宋_GB2312" w:eastAsia="仿宋_GB2312"/>
          <w:b/>
          <w:sz w:val="32"/>
          <w:szCs w:val="32"/>
        </w:rPr>
      </w:pPr>
      <w:r>
        <w:rPr>
          <w:rFonts w:hint="eastAsia" w:ascii="仿宋_GB2312" w:eastAsia="仿宋_GB2312"/>
          <w:sz w:val="32"/>
          <w:szCs w:val="32"/>
        </w:rPr>
        <w:t>任何本协议未尽事宜应由协议双方协商解决，并且不得影响实施本协议。</w:t>
      </w:r>
    </w:p>
    <w:p>
      <w:pPr>
        <w:spacing w:line="600" w:lineRule="exact"/>
        <w:ind w:firstLine="640" w:firstLineChars="200"/>
        <w:textAlignment w:val="baseline"/>
        <w:rPr>
          <w:rFonts w:ascii="仿宋_GB2312" w:hAnsi="黑体" w:eastAsia="仿宋_GB2312" w:cs="黑体"/>
          <w:sz w:val="32"/>
          <w:szCs w:val="32"/>
        </w:rPr>
      </w:pPr>
    </w:p>
    <w:p>
      <w:pPr>
        <w:spacing w:line="600" w:lineRule="exact"/>
        <w:ind w:firstLine="640" w:firstLineChars="200"/>
        <w:textAlignment w:val="baseline"/>
        <w:rPr>
          <w:rFonts w:ascii="仿宋_GB2312" w:hAnsi="黑体" w:eastAsia="仿宋_GB2312" w:cs="黑体"/>
          <w:sz w:val="32"/>
          <w:szCs w:val="32"/>
        </w:rPr>
      </w:pPr>
      <w:r>
        <w:rPr>
          <w:rFonts w:hint="eastAsia" w:ascii="仿宋_GB2312" w:hAnsi="黑体" w:eastAsia="仿宋_GB2312" w:cs="黑体"/>
          <w:sz w:val="32"/>
          <w:szCs w:val="32"/>
        </w:rPr>
        <w:t xml:space="preserve">甲方（公章）： </w:t>
      </w:r>
    </w:p>
    <w:p>
      <w:pPr>
        <w:spacing w:line="600" w:lineRule="exact"/>
        <w:ind w:firstLine="640" w:firstLineChars="200"/>
        <w:textAlignment w:val="baseline"/>
        <w:rPr>
          <w:rFonts w:ascii="仿宋_GB2312" w:hAnsi="黑体" w:eastAsia="仿宋_GB2312" w:cs="黑体"/>
          <w:sz w:val="32"/>
          <w:szCs w:val="32"/>
        </w:rPr>
      </w:pPr>
    </w:p>
    <w:p>
      <w:pPr>
        <w:spacing w:line="600" w:lineRule="exact"/>
        <w:ind w:firstLine="640" w:firstLineChars="200"/>
        <w:textAlignment w:val="baseline"/>
        <w:rPr>
          <w:rFonts w:ascii="仿宋_GB2312" w:hAnsi="黑体" w:eastAsia="仿宋_GB2312" w:cs="黑体"/>
          <w:sz w:val="32"/>
          <w:szCs w:val="32"/>
        </w:rPr>
      </w:pPr>
      <w:r>
        <w:rPr>
          <w:rFonts w:hint="eastAsia" w:ascii="仿宋_GB2312" w:hAnsi="黑体" w:eastAsia="仿宋_GB2312" w:cs="黑体"/>
          <w:sz w:val="32"/>
          <w:szCs w:val="32"/>
        </w:rPr>
        <w:t>法定代表人或授权代表：</w:t>
      </w:r>
    </w:p>
    <w:p>
      <w:pPr>
        <w:spacing w:line="600" w:lineRule="exact"/>
        <w:ind w:firstLine="640" w:firstLineChars="200"/>
        <w:textAlignment w:val="baseline"/>
        <w:rPr>
          <w:rFonts w:ascii="仿宋_GB2312" w:hAnsi="黑体" w:eastAsia="仿宋_GB2312" w:cs="黑体"/>
          <w:sz w:val="32"/>
          <w:szCs w:val="32"/>
        </w:rPr>
      </w:pPr>
    </w:p>
    <w:p>
      <w:pPr>
        <w:spacing w:line="600" w:lineRule="exact"/>
        <w:ind w:firstLine="640" w:firstLineChars="200"/>
        <w:textAlignment w:val="baseline"/>
        <w:rPr>
          <w:rFonts w:ascii="仿宋_GB2312" w:hAnsi="黑体" w:eastAsia="仿宋_GB2312" w:cs="黑体"/>
          <w:sz w:val="32"/>
          <w:szCs w:val="32"/>
        </w:rPr>
      </w:pPr>
      <w:r>
        <w:rPr>
          <w:rFonts w:hint="eastAsia" w:ascii="仿宋_GB2312" w:hAnsi="黑体" w:eastAsia="仿宋_GB2312" w:cs="黑体"/>
          <w:sz w:val="32"/>
          <w:szCs w:val="32"/>
        </w:rPr>
        <w:t>签署日期：    年   月   日</w:t>
      </w:r>
    </w:p>
    <w:p>
      <w:pPr>
        <w:spacing w:line="600" w:lineRule="exact"/>
        <w:ind w:firstLine="640" w:firstLineChars="200"/>
        <w:textAlignment w:val="baseline"/>
        <w:rPr>
          <w:rFonts w:ascii="仿宋_GB2312" w:hAnsi="黑体" w:eastAsia="仿宋_GB2312" w:cs="黑体"/>
          <w:sz w:val="32"/>
          <w:szCs w:val="32"/>
        </w:rPr>
      </w:pPr>
    </w:p>
    <w:p>
      <w:pPr>
        <w:spacing w:line="600" w:lineRule="exact"/>
        <w:ind w:firstLine="640" w:firstLineChars="200"/>
        <w:textAlignment w:val="baseline"/>
        <w:rPr>
          <w:rFonts w:ascii="仿宋_GB2312" w:hAnsi="黑体" w:eastAsia="仿宋_GB2312" w:cs="黑体"/>
          <w:sz w:val="32"/>
          <w:szCs w:val="32"/>
        </w:rPr>
      </w:pPr>
      <w:r>
        <w:rPr>
          <w:rFonts w:hint="eastAsia" w:ascii="仿宋_GB2312" w:hAnsi="黑体" w:eastAsia="仿宋_GB2312" w:cs="黑体"/>
          <w:sz w:val="32"/>
          <w:szCs w:val="32"/>
        </w:rPr>
        <w:t>乙方：***资产评估有限公司</w:t>
      </w:r>
    </w:p>
    <w:p>
      <w:pPr>
        <w:spacing w:line="600" w:lineRule="exact"/>
        <w:ind w:firstLine="640" w:firstLineChars="200"/>
        <w:textAlignment w:val="baseline"/>
        <w:rPr>
          <w:rFonts w:ascii="仿宋_GB2312" w:hAnsi="黑体" w:eastAsia="仿宋_GB2312" w:cs="黑体"/>
          <w:sz w:val="32"/>
          <w:szCs w:val="32"/>
        </w:rPr>
      </w:pPr>
    </w:p>
    <w:p>
      <w:pPr>
        <w:spacing w:line="600" w:lineRule="exact"/>
        <w:ind w:firstLine="640" w:firstLineChars="200"/>
        <w:textAlignment w:val="baseline"/>
        <w:rPr>
          <w:rFonts w:ascii="仿宋_GB2312" w:hAnsi="黑体" w:eastAsia="仿宋_GB2312" w:cs="黑体"/>
          <w:sz w:val="32"/>
          <w:szCs w:val="32"/>
        </w:rPr>
      </w:pPr>
      <w:r>
        <w:rPr>
          <w:rFonts w:hint="eastAsia" w:ascii="仿宋_GB2312" w:hAnsi="黑体" w:eastAsia="仿宋_GB2312" w:cs="黑体"/>
          <w:sz w:val="32"/>
          <w:szCs w:val="32"/>
        </w:rPr>
        <w:t>法定代表人或授权代表：</w:t>
      </w:r>
    </w:p>
    <w:p>
      <w:pPr>
        <w:spacing w:line="600" w:lineRule="exact"/>
        <w:ind w:firstLine="640" w:firstLineChars="200"/>
        <w:textAlignment w:val="baseline"/>
        <w:rPr>
          <w:rFonts w:ascii="仿宋_GB2312" w:hAnsi="黑体" w:eastAsia="仿宋_GB2312" w:cs="黑体"/>
          <w:sz w:val="32"/>
          <w:szCs w:val="32"/>
        </w:rPr>
      </w:pPr>
    </w:p>
    <w:p>
      <w:pPr>
        <w:spacing w:line="600" w:lineRule="exact"/>
        <w:ind w:firstLine="640" w:firstLineChars="200"/>
        <w:textAlignment w:val="baseline"/>
      </w:pPr>
      <w:r>
        <w:rPr>
          <w:rFonts w:hint="eastAsia" w:ascii="仿宋_GB2312" w:hAnsi="黑体" w:eastAsia="仿宋_GB2312" w:cs="黑体"/>
          <w:sz w:val="32"/>
          <w:szCs w:val="32"/>
        </w:rPr>
        <w:t>签署日期：    年   月   日</w:t>
      </w:r>
    </w:p>
    <w:sectPr>
      <w:headerReference r:id="rId3" w:type="default"/>
      <w:pgSz w:w="11906" w:h="16838"/>
      <w:pgMar w:top="1588" w:right="1588" w:bottom="1588" w:left="1588"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_GB2312">
    <w:panose1 w:val="02010609030101010101"/>
    <w:charset w:val="86"/>
    <w:family w:val="modern"/>
    <w:pitch w:val="default"/>
    <w:sig w:usb0="00000001" w:usb1="080E0000" w:usb2="00000000" w:usb3="00000000" w:csb0="00040000" w:csb1="00000000"/>
  </w:font>
  <w:font w:name="仿宋">
    <w:panose1 w:val="02010609060101010101"/>
    <w:charset w:val="86"/>
    <w:family w:val="modern"/>
    <w:pitch w:val="default"/>
    <w:sig w:usb0="800002BF" w:usb1="38CF7CFA" w:usb2="00000016" w:usb3="00000000" w:csb0="00040001" w:csb1="00000000"/>
  </w:font>
</w:font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4"/>
      <w:jc w:val="left"/>
      <w:rPr>
        <w:rFonts w:ascii="黑体" w:eastAsia="黑体"/>
        <w:sz w:val="21"/>
        <w:szCs w:val="21"/>
      </w:rPr>
    </w:pPr>
    <w:r>
      <w:rPr>
        <w:rFonts w:hint="eastAsia" w:ascii="黑体" w:eastAsia="黑体"/>
        <w:sz w:val="21"/>
        <w:szCs w:val="21"/>
      </w:rPr>
      <w:t>评估入库服务框架协议</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3C1F3D32"/>
    <w:multiLevelType w:val="multilevel"/>
    <w:tmpl w:val="3C1F3D32"/>
    <w:lvl w:ilvl="0" w:tentative="0">
      <w:start w:val="1"/>
      <w:numFmt w:val="japaneseCounting"/>
      <w:lvlText w:val="（%1）"/>
      <w:lvlJc w:val="left"/>
      <w:pPr>
        <w:ind w:left="855" w:hanging="855"/>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
    <w:nsid w:val="432E7489"/>
    <w:multiLevelType w:val="multilevel"/>
    <w:tmpl w:val="432E7489"/>
    <w:lvl w:ilvl="0" w:tentative="0">
      <w:start w:val="1"/>
      <w:numFmt w:val="japaneseCounting"/>
      <w:lvlText w:val="%1、"/>
      <w:lvlJc w:val="left"/>
      <w:pPr>
        <w:ind w:left="720" w:hanging="720"/>
      </w:pPr>
      <w:rPr>
        <w:rFonts w:hAnsi="宋体"/>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2">
    <w:nsid w:val="44A51E08"/>
    <w:multiLevelType w:val="multilevel"/>
    <w:tmpl w:val="44A51E08"/>
    <w:lvl w:ilvl="0" w:tentative="0">
      <w:start w:val="1"/>
      <w:numFmt w:val="decimal"/>
      <w:lvlText w:val="%1．"/>
      <w:lvlJc w:val="left"/>
      <w:pPr>
        <w:ind w:left="855" w:hanging="855"/>
      </w:pPr>
      <w:rPr>
        <w:rFonts w:ascii="仿宋" w:hAnsi="仿宋" w:eastAsia="仿宋" w:cs="Times New Roman"/>
        <w:b w:val="0"/>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3">
    <w:nsid w:val="65B113F3"/>
    <w:multiLevelType w:val="multilevel"/>
    <w:tmpl w:val="65B113F3"/>
    <w:lvl w:ilvl="0" w:tentative="0">
      <w:start w:val="1"/>
      <w:numFmt w:val="decimal"/>
      <w:lvlText w:val="%1．"/>
      <w:lvlJc w:val="left"/>
      <w:pPr>
        <w:ind w:left="855" w:hanging="855"/>
      </w:pPr>
      <w:rPr>
        <w:rFonts w:ascii="仿宋" w:hAnsi="仿宋" w:eastAsia="仿宋" w:cs="Times New Roman"/>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4">
    <w:nsid w:val="7C2C75ED"/>
    <w:multiLevelType w:val="multilevel"/>
    <w:tmpl w:val="7C2C75ED"/>
    <w:lvl w:ilvl="0" w:tentative="0">
      <w:start w:val="1"/>
      <w:numFmt w:val="decimal"/>
      <w:lvlText w:val="%1．"/>
      <w:lvlJc w:val="left"/>
      <w:pPr>
        <w:ind w:left="720" w:hanging="720"/>
      </w:pPr>
      <w:rPr>
        <w:b w:val="0"/>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5">
    <w:nsid w:val="7C9A772A"/>
    <w:multiLevelType w:val="multilevel"/>
    <w:tmpl w:val="7C9A772A"/>
    <w:lvl w:ilvl="0" w:tentative="0">
      <w:start w:val="1"/>
      <w:numFmt w:val="decimal"/>
      <w:lvlText w:val="%1．"/>
      <w:lvlJc w:val="left"/>
      <w:pPr>
        <w:ind w:left="720" w:hanging="7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num w:numId="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1"/>
  <w:bordersDoNotSurroundFooter w:val="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CE402F"/>
    <w:rsid w:val="00003D2F"/>
    <w:rsid w:val="00013C59"/>
    <w:rsid w:val="00056894"/>
    <w:rsid w:val="000A1F46"/>
    <w:rsid w:val="000A2201"/>
    <w:rsid w:val="00126DEE"/>
    <w:rsid w:val="00131331"/>
    <w:rsid w:val="00132BFA"/>
    <w:rsid w:val="00152E67"/>
    <w:rsid w:val="00162289"/>
    <w:rsid w:val="00170929"/>
    <w:rsid w:val="00175E84"/>
    <w:rsid w:val="001876DF"/>
    <w:rsid w:val="00194F01"/>
    <w:rsid w:val="001A71C6"/>
    <w:rsid w:val="001C35E2"/>
    <w:rsid w:val="001D5070"/>
    <w:rsid w:val="00206B89"/>
    <w:rsid w:val="002C4F6A"/>
    <w:rsid w:val="00397E02"/>
    <w:rsid w:val="003A779F"/>
    <w:rsid w:val="003C6755"/>
    <w:rsid w:val="00404B91"/>
    <w:rsid w:val="00420140"/>
    <w:rsid w:val="004466A2"/>
    <w:rsid w:val="00514E9D"/>
    <w:rsid w:val="005E4F55"/>
    <w:rsid w:val="0071356B"/>
    <w:rsid w:val="007E117D"/>
    <w:rsid w:val="007E4BC3"/>
    <w:rsid w:val="008709AC"/>
    <w:rsid w:val="0087727A"/>
    <w:rsid w:val="008F7A72"/>
    <w:rsid w:val="0090757C"/>
    <w:rsid w:val="00965302"/>
    <w:rsid w:val="00973015"/>
    <w:rsid w:val="00987D95"/>
    <w:rsid w:val="009E6748"/>
    <w:rsid w:val="009E6DAE"/>
    <w:rsid w:val="00A37C2A"/>
    <w:rsid w:val="00A47BF2"/>
    <w:rsid w:val="00A50534"/>
    <w:rsid w:val="00A56DD8"/>
    <w:rsid w:val="00A64AD6"/>
    <w:rsid w:val="00AE6BBF"/>
    <w:rsid w:val="00B248C4"/>
    <w:rsid w:val="00B52A1E"/>
    <w:rsid w:val="00B71C61"/>
    <w:rsid w:val="00BD4237"/>
    <w:rsid w:val="00C002B3"/>
    <w:rsid w:val="00C042C6"/>
    <w:rsid w:val="00C065B9"/>
    <w:rsid w:val="00CC718F"/>
    <w:rsid w:val="00CE402F"/>
    <w:rsid w:val="00D46462"/>
    <w:rsid w:val="00DA0CAE"/>
    <w:rsid w:val="00DE6B3C"/>
    <w:rsid w:val="00E1048E"/>
    <w:rsid w:val="00E12275"/>
    <w:rsid w:val="00E749FA"/>
    <w:rsid w:val="00E75FB8"/>
    <w:rsid w:val="00E828A2"/>
    <w:rsid w:val="00EB6214"/>
    <w:rsid w:val="00F47524"/>
    <w:rsid w:val="00F6020A"/>
    <w:rsid w:val="00F85AAD"/>
    <w:rsid w:val="00FB7D0D"/>
    <w:rsid w:val="00FC2AF7"/>
    <w:rsid w:val="0FA61347"/>
    <w:rsid w:val="1EBB33F1"/>
    <w:rsid w:val="74DA60C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iPriority="0" w:name="index 1"/>
    <w:lsdException w:uiPriority="0" w:name="index 2"/>
    <w:lsdException w:uiPriority="0" w:name="index 3"/>
    <w:lsdException w:uiPriority="0" w:name="index 4"/>
    <w:lsdException w:uiPriority="0" w:name="index 5"/>
    <w:lsdException w:uiPriority="0" w:name="index 6"/>
    <w:lsdException w:uiPriority="0" w:name="index 7"/>
    <w:lsdException w:uiPriority="0" w:name="index 8"/>
    <w:lsdException w:uiPriority="0" w:name="index 9"/>
    <w:lsdException w:uiPriority="0" w:name="toc 1"/>
    <w:lsdException w:uiPriority="0" w:name="toc 2"/>
    <w:lsdException w:uiPriority="0" w:name="toc 3"/>
    <w:lsdException w:uiPriority="0" w:name="toc 4"/>
    <w:lsdException w:uiPriority="0" w:name="toc 5"/>
    <w:lsdException w:uiPriority="0" w:name="toc 6"/>
    <w:lsdException w:uiPriority="0" w:name="toc 7"/>
    <w:lsdException w:uiPriority="0" w:name="toc 8"/>
    <w:lsdException w:uiPriority="0" w:name="toc 9"/>
    <w:lsdException w:uiPriority="0" w:name="Normal Indent"/>
    <w:lsdException w:uiPriority="0" w:name="footnote text"/>
    <w:lsdException w:uiPriority="0" w:name="annotation text"/>
    <w:lsdException w:qFormat="1" w:unhideWhenUsed="0" w:uiPriority="99" w:semiHidden="0" w:name="header"/>
    <w:lsdException w:qFormat="1" w:unhideWhenUsed="0" w:uiPriority="0" w:semiHidden="0" w:name="footer"/>
    <w:lsdException w:uiPriority="0" w:name="index heading"/>
    <w:lsdException w:qFormat="1" w:uiPriority="0" w:name="caption"/>
    <w:lsdException w:uiPriority="0" w:name="table of figures"/>
    <w:lsdException w:uiPriority="0" w:name="envelope address"/>
    <w:lsdException w:uiPriority="0" w:name="envelope return"/>
    <w:lsdException w:uiPriority="0" w:name="footnote reference"/>
    <w:lsdException w:uiPriority="0" w:name="annotation reference"/>
    <w:lsdException w:uiPriority="0" w:name="line number"/>
    <w:lsdException w:uiPriority="0" w:name="page number"/>
    <w:lsdException w:uiPriority="0" w:name="endnote reference"/>
    <w:lsdException w:uiPriority="0" w:name="endnote text"/>
    <w:lsdException w:uiPriority="0" w:name="table of authorities"/>
    <w:lsdException w:uiPriority="0" w:name="macro"/>
    <w:lsdException w:uiPriority="0" w:name="toa heading"/>
    <w:lsdException w:uiPriority="0" w:name="List"/>
    <w:lsdException w:uiPriority="0" w:name="List Bullet"/>
    <w:lsdException w:unhideWhenUsed="0" w:uiPriority="0" w:semiHidden="0" w:name="List Number"/>
    <w:lsdException w:uiPriority="0" w:name="List 2"/>
    <w:lsdException w:uiPriority="0" w:name="List 3"/>
    <w:lsdException w:unhideWhenUsed="0" w:uiPriority="0" w:semiHidden="0" w:name="List 4"/>
    <w:lsdException w:unhideWhenUsed="0" w:uiPriority="0" w:semiHidden="0" w:name="List 5"/>
    <w:lsdException w:uiPriority="0" w:name="List Bullet 2"/>
    <w:lsdException w:uiPriority="0" w:name="List Bullet 3"/>
    <w:lsdException w:uiPriority="0" w:name="List Bullet 4"/>
    <w:lsdException w:uiPriority="0" w:name="List Bullet 5"/>
    <w:lsdException w:uiPriority="0" w:name="List Number 2"/>
    <w:lsdException w:uiPriority="0" w:name="List Number 3"/>
    <w:lsdException w:uiPriority="0" w:name="List Number 4"/>
    <w:lsdException w:uiPriority="0" w:name="List Number 5"/>
    <w:lsdException w:qFormat="1" w:unhideWhenUsed="0" w:uiPriority="0" w:semiHidden="0" w:name="Title"/>
    <w:lsdException w:uiPriority="0" w:name="Closing"/>
    <w:lsdException w:uiPriority="0" w:name="Signature"/>
    <w:lsdException w:qFormat="1" w:uiPriority="1" w:name="Default Paragraph Font"/>
    <w:lsdException w:uiPriority="0" w:name="Body Text"/>
    <w:lsdException w:uiPriority="0" w:name="Body Text Indent"/>
    <w:lsdException w:uiPriority="0" w:name="List Continue"/>
    <w:lsdException w:uiPriority="0" w:name="List Continue 2"/>
    <w:lsdException w:uiPriority="0" w:name="List Continue 3"/>
    <w:lsdException w:uiPriority="0" w:name="List Continue 4"/>
    <w:lsdException w:uiPriority="0" w:name="List Continue 5"/>
    <w:lsdException w:uiPriority="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iPriority="0" w:name="Body Text First Indent 2"/>
    <w:lsdException w:uiPriority="0" w:name="Note Heading"/>
    <w:lsdException w:uiPriority="0" w:name="Body Text 2"/>
    <w:lsdException w:uiPriority="0" w:name="Body Text 3"/>
    <w:lsdException w:uiPriority="0" w:name="Body Text Indent 2"/>
    <w:lsdException w:uiPriority="0" w:name="Body Text Indent 3"/>
    <w:lsdException w:uiPriority="0" w:name="Block Text"/>
    <w:lsdException w:uiPriority="0" w:name="Hyperlink"/>
    <w:lsdException w:uiPriority="0" w:name="FollowedHyperlink"/>
    <w:lsdException w:qFormat="1" w:unhideWhenUsed="0" w:uiPriority="0" w:semiHidden="0" w:name="Strong"/>
    <w:lsdException w:qFormat="1" w:unhideWhenUsed="0" w:uiPriority="0" w:semiHidden="0" w:name="Emphasis"/>
    <w:lsdException w:uiPriority="0" w:name="Document Map"/>
    <w:lsdException w:uiPriority="0" w:name="Plain Text"/>
    <w:lsdException w:uiPriority="0" w:name="E-mail Signature"/>
    <w:lsdException w:uiPriority="0" w:name="Normal (Web)"/>
    <w:lsdException w:uiPriority="0" w:name="HTML Acronym"/>
    <w:lsdException w:uiPriority="0" w:name="HTML Address"/>
    <w:lsdException w:uiPriority="0" w:name="HTML Cite"/>
    <w:lsdException w:uiPriority="0" w:name="HTML Code"/>
    <w:lsdException w:uiPriority="0" w:name="HTML Definition"/>
    <w:lsdException w:uiPriority="0" w:name="HTML Keyboard"/>
    <w:lsdException w:uiPriority="0" w:name="HTML Preformatted"/>
    <w:lsdException w:uiPriority="0" w:name="HTML Sample"/>
    <w:lsdException w:uiPriority="0" w:name="HTML Typewriter"/>
    <w:lsdException w:uiPriority="0" w:name="HTML Variable"/>
    <w:lsdException w:qFormat="1" w:uiPriority="99" w:name="Normal Table"/>
    <w:lsdException w:uiPriority="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nhideWhenUsed="0" w:uiPriority="0" w:semiHidden="0" w:name="Balloon Text"/>
    <w:lsdException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character" w:default="1" w:styleId="6">
    <w:name w:val="Default Paragraph Font"/>
    <w:semiHidden/>
    <w:unhideWhenUsed/>
    <w:qFormat/>
    <w:uiPriority w:val="1"/>
  </w:style>
  <w:style w:type="table" w:default="1" w:styleId="5">
    <w:name w:val="Normal Table"/>
    <w:semiHidden/>
    <w:unhideWhenUsed/>
    <w:qFormat/>
    <w:uiPriority w:val="99"/>
    <w:tblPr>
      <w:tblCellMar>
        <w:top w:w="0" w:type="dxa"/>
        <w:left w:w="108" w:type="dxa"/>
        <w:bottom w:w="0" w:type="dxa"/>
        <w:right w:w="108" w:type="dxa"/>
      </w:tblCellMar>
    </w:tblPr>
  </w:style>
  <w:style w:type="paragraph" w:styleId="2">
    <w:name w:val="Balloon Text"/>
    <w:basedOn w:val="1"/>
    <w:link w:val="10"/>
    <w:qFormat/>
    <w:uiPriority w:val="0"/>
    <w:rPr>
      <w:sz w:val="18"/>
      <w:szCs w:val="18"/>
    </w:rPr>
  </w:style>
  <w:style w:type="paragraph" w:styleId="3">
    <w:name w:val="footer"/>
    <w:basedOn w:val="1"/>
    <w:link w:val="9"/>
    <w:qFormat/>
    <w:uiPriority w:val="0"/>
    <w:pPr>
      <w:tabs>
        <w:tab w:val="center" w:pos="4153"/>
        <w:tab w:val="right" w:pos="8306"/>
      </w:tabs>
      <w:snapToGrid w:val="0"/>
      <w:jc w:val="left"/>
    </w:pPr>
    <w:rPr>
      <w:sz w:val="18"/>
      <w:szCs w:val="18"/>
    </w:rPr>
  </w:style>
  <w:style w:type="paragraph" w:styleId="4">
    <w:name w:val="header"/>
    <w:basedOn w:val="1"/>
    <w:link w:val="8"/>
    <w:qFormat/>
    <w:uiPriority w:val="99"/>
    <w:pPr>
      <w:pBdr>
        <w:bottom w:val="single" w:color="auto" w:sz="6" w:space="1"/>
      </w:pBdr>
      <w:tabs>
        <w:tab w:val="center" w:pos="4153"/>
        <w:tab w:val="right" w:pos="8306"/>
      </w:tabs>
      <w:snapToGrid w:val="0"/>
      <w:jc w:val="center"/>
    </w:pPr>
    <w:rPr>
      <w:sz w:val="18"/>
      <w:szCs w:val="18"/>
    </w:rPr>
  </w:style>
  <w:style w:type="paragraph" w:styleId="7">
    <w:name w:val="List Paragraph"/>
    <w:basedOn w:val="1"/>
    <w:qFormat/>
    <w:uiPriority w:val="34"/>
    <w:pPr>
      <w:ind w:firstLine="420" w:firstLineChars="200"/>
    </w:pPr>
  </w:style>
  <w:style w:type="character" w:customStyle="1" w:styleId="8">
    <w:name w:val="页眉 Char"/>
    <w:basedOn w:val="6"/>
    <w:link w:val="4"/>
    <w:qFormat/>
    <w:uiPriority w:val="99"/>
    <w:rPr>
      <w:kern w:val="2"/>
      <w:sz w:val="18"/>
      <w:szCs w:val="18"/>
    </w:rPr>
  </w:style>
  <w:style w:type="character" w:customStyle="1" w:styleId="9">
    <w:name w:val="页脚 Char"/>
    <w:basedOn w:val="6"/>
    <w:link w:val="3"/>
    <w:qFormat/>
    <w:uiPriority w:val="0"/>
    <w:rPr>
      <w:kern w:val="2"/>
      <w:sz w:val="18"/>
      <w:szCs w:val="18"/>
    </w:rPr>
  </w:style>
  <w:style w:type="character" w:customStyle="1" w:styleId="10">
    <w:name w:val="批注框文本 Char"/>
    <w:basedOn w:val="6"/>
    <w:link w:val="2"/>
    <w:qFormat/>
    <w:uiPriority w:val="0"/>
    <w:rPr>
      <w:kern w:val="2"/>
      <w:sz w:val="18"/>
      <w:szCs w:val="18"/>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theme" Target="theme/theme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Company>Lenovo (Beijing) Limited</Company>
  <Pages>7</Pages>
  <Words>318</Words>
  <Characters>1813</Characters>
  <Lines>15</Lines>
  <Paragraphs>4</Paragraphs>
  <TotalTime>49</TotalTime>
  <ScaleCrop>false</ScaleCrop>
  <LinksUpToDate>false</LinksUpToDate>
  <CharactersWithSpaces>2127</CharactersWithSpaces>
  <Application>WPS Office_11.8.0.16970_F1E327BC-269C-435d-A152-05C5408002CA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2018-09-30T04:34:00Z</dcterms:created>
  <dc:creator>万倩</dc:creator>
  <cp:lastModifiedBy>张颖</cp:lastModifiedBy>
  <dcterms:modified xsi:type="dcterms:W3CDTF">2024-12-02T08:26:08Z</dcterms:modified>
  <cp:revision>31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2052-11.8.0.16970</vt:lpwstr>
  </property>
  <property fmtid="{D5CDD505-2E9C-101B-9397-08002B2CF9AE}" pid="3" name="ICV">
    <vt:lpwstr>FFA458BB3BDE4E58A74E864FA941941D</vt:lpwstr>
  </property>
</Properties>
</file>