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44"/>
          <w:lang w:val="en-US" w:eastAsia="zh-CN"/>
        </w:rPr>
        <w:t>浪潮中物资系统操作指南</w:t>
      </w:r>
    </w:p>
    <w:p>
      <w:pPr>
        <w:numPr>
          <w:ilvl w:val="0"/>
          <w:numId w:val="0"/>
        </w:numPr>
        <w:ind w:firstLine="640" w:firstLineChars="200"/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物资系统财务人员主要涉及到的工作内容是针对采购收货，其他收货，组织间移动及公司间移动，物资领用消耗的记账审核，及月结、年结工作。</w:t>
      </w:r>
    </w:p>
    <w:p>
      <w:pPr>
        <w:numPr>
          <w:ilvl w:val="0"/>
          <w:numId w:val="0"/>
        </w:numPr>
        <w:ind w:firstLine="320" w:firstLineChars="100"/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实操步骤介绍:</w:t>
      </w:r>
    </w:p>
    <w:p>
      <w:pPr>
        <w:numPr>
          <w:ilvl w:val="0"/>
          <w:numId w:val="1"/>
        </w:numPr>
        <w:jc w:val="lef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选取对应的账套，在存货核算选取未处理单据。</w:t>
      </w:r>
      <w:r>
        <w:rPr>
          <w:rFonts w:hint="eastAsia"/>
          <w:sz w:val="32"/>
          <w:szCs w:val="40"/>
          <w:lang w:val="en-US" w:eastAsia="zh-CN"/>
        </w:rPr>
        <w:drawing>
          <wp:inline distT="0" distB="0" distL="114300" distR="114300">
            <wp:extent cx="5264150" cy="2372995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选择对应的月份点击确定。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199380" cy="3580765"/>
            <wp:effectExtent l="0" t="0" r="1270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{只需要将未处理单据里面的单据处理完毕即可。)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其中采购收货及其他收货记账审核步骤，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6055" cy="2750185"/>
            <wp:effectExtent l="0" t="0" r="698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4984115"/>
            <wp:effectExtent l="0" t="0" r="127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点三个点，输入对应的船舶名称，点击确定，</w:t>
      </w:r>
    </w:p>
    <w:p>
      <w:pPr>
        <w:numPr>
          <w:ilvl w:val="0"/>
          <w:numId w:val="0"/>
        </w:numPr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-243840</wp:posOffset>
            </wp:positionV>
            <wp:extent cx="5269865" cy="2900045"/>
            <wp:effectExtent l="0" t="0" r="3175" b="10795"/>
            <wp:wrapTopAndBottom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进入后勾选对号，后点击记账。-结束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其他发货及消耗领用操作步骤，选取账套，点击出库成本计算，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120265"/>
            <wp:effectExtent l="0" t="0" r="6350" b="1333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388620</wp:posOffset>
            </wp:positionH>
            <wp:positionV relativeFrom="paragraph">
              <wp:posOffset>-769620</wp:posOffset>
            </wp:positionV>
            <wp:extent cx="4291965" cy="4185920"/>
            <wp:effectExtent l="0" t="0" r="5715" b="5080"/>
            <wp:wrapTopAndBottom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选取船舶名称及期间点击确定，出现下面界面，全选点击计算。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2880" cy="3326765"/>
            <wp:effectExtent l="0" t="0" r="10160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选取出库成本记账，对应选取刚计算的船舶名称。进去后，选取全部记账</w:t>
      </w:r>
      <w:r>
        <w:drawing>
          <wp:inline distT="0" distB="0" distL="114300" distR="114300">
            <wp:extent cx="5262880" cy="2223135"/>
            <wp:effectExtent l="0" t="0" r="10160" b="190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以上为日常主要工作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其他要点，要是入库成本记账不成功需要引入一下物料，具体入下，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1.选取存货核算属性定义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3515" cy="2588895"/>
            <wp:effectExtent l="0" t="0" r="9525" b="190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2选取对应的船舶名称后，点击搜索。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4785" cy="2513965"/>
            <wp:effectExtent l="0" t="0" r="8255" b="63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3.出来后选取未引入物料，点击全部引入后，再尝试入库成本记账即可。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055" cy="2779395"/>
            <wp:effectExtent l="0" t="0" r="6985" b="952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其他细节下次更新待续。。。。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77CE4"/>
    <w:multiLevelType w:val="singleLevel"/>
    <w:tmpl w:val="90077C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E43A7"/>
    <w:rsid w:val="34CF74B6"/>
    <w:rsid w:val="376E43A7"/>
    <w:rsid w:val="3937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2023-01-28T01:08:00Z</dcterms:created>
  <dc:creator>青鸟ヾ</dc:creator>
  <cp:lastModifiedBy>青鸟ヾ</cp:lastModifiedBy>
  <dcterms:modified xsi:type="dcterms:W3CDTF">2024-01-16T01:26:00Z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