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239C14">
      <w:pPr>
        <w:pStyle w:val="2"/>
        <w:rPr>
          <w:rFonts w:hint="eastAsia"/>
        </w:rPr>
      </w:pPr>
      <w:bookmarkStart w:id="0" w:name="_Toc12286168"/>
      <w:bookmarkStart w:id="1" w:name="_Toc18823"/>
      <w:bookmarkStart w:id="2" w:name="_Toc150505529"/>
      <w:r>
        <w:rPr>
          <w:rFonts w:hint="eastAsia"/>
        </w:rPr>
        <w:t>技术服务项目概要</w:t>
      </w:r>
      <w:bookmarkEnd w:id="0"/>
      <w:bookmarkEnd w:id="1"/>
      <w:bookmarkEnd w:id="2"/>
    </w:p>
    <w:p w14:paraId="37067F74">
      <w:pPr>
        <w:spacing w:line="360" w:lineRule="auto"/>
        <w:ind w:firstLine="480" w:firstLineChars="200"/>
        <w:rPr>
          <w:rFonts w:hint="eastAsia" w:ascii="宋体" w:hAnsi="宋体" w:eastAsia="宋体" w:cs="Times New Roman"/>
          <w:sz w:val="24"/>
          <w:lang w:val="en-US" w:eastAsia="zh-CN"/>
        </w:rPr>
      </w:pPr>
      <w:r>
        <w:rPr>
          <w:rFonts w:hint="eastAsia" w:ascii="宋体" w:hAnsi="宋体" w:eastAsia="宋体" w:cs="Times New Roman"/>
          <w:sz w:val="24"/>
        </w:rPr>
        <w:t>2.</w:t>
      </w:r>
      <w:r>
        <w:rPr>
          <w:rFonts w:hint="eastAsia" w:ascii="宋体" w:hAnsi="宋体" w:cs="Times New Roman"/>
          <w:sz w:val="24"/>
          <w:lang w:val="en-US" w:eastAsia="zh-CN"/>
        </w:rPr>
        <w:t>1</w:t>
      </w:r>
      <w:r>
        <w:rPr>
          <w:rFonts w:hint="eastAsia" w:ascii="宋体" w:hAnsi="宋体" w:eastAsia="宋体" w:cs="Times New Roman"/>
          <w:sz w:val="24"/>
        </w:rPr>
        <w:t>技术服务目的：</w:t>
      </w:r>
      <w:r>
        <w:rPr>
          <w:rFonts w:hint="eastAsia" w:ascii="宋体" w:hAnsi="宋体" w:eastAsia="宋体" w:cs="Times New Roman"/>
          <w:sz w:val="24"/>
          <w:lang w:val="en-US" w:eastAsia="zh-CN"/>
        </w:rPr>
        <w:t>以垃圾焚烧发电厂的渗沥液处理系统为核心，实现系统的工况感知、数据驱动、智能决策、闭环控制、安全可靠、可扩展的标准化智慧化管理，以实现水质稳定达标、设备高效运行、快速响应。</w:t>
      </w:r>
    </w:p>
    <w:p w14:paraId="574E3041">
      <w:pPr>
        <w:spacing w:line="360" w:lineRule="auto"/>
        <w:ind w:firstLine="480" w:firstLineChars="200"/>
        <w:rPr>
          <w:rFonts w:hint="eastAsia" w:ascii="宋体" w:hAnsi="宋体"/>
          <w:sz w:val="24"/>
        </w:rPr>
      </w:pPr>
      <w:r>
        <w:rPr>
          <w:rFonts w:hint="eastAsia" w:ascii="宋体" w:hAnsi="宋体" w:eastAsia="宋体" w:cs="Times New Roman"/>
          <w:sz w:val="24"/>
        </w:rPr>
        <w:t>2.</w:t>
      </w:r>
      <w:r>
        <w:rPr>
          <w:rFonts w:hint="eastAsia" w:ascii="宋体" w:hAnsi="宋体" w:cs="Times New Roman"/>
          <w:sz w:val="24"/>
          <w:lang w:val="en-US" w:eastAsia="zh-CN"/>
        </w:rPr>
        <w:t>2</w:t>
      </w:r>
      <w:r>
        <w:rPr>
          <w:rFonts w:hint="eastAsia" w:ascii="宋体" w:hAnsi="宋体" w:eastAsia="宋体" w:cs="Times New Roman"/>
          <w:sz w:val="24"/>
        </w:rPr>
        <w:t>服务内容：</w:t>
      </w:r>
      <w:r>
        <w:rPr>
          <w:rFonts w:hint="eastAsia" w:ascii="宋体" w:hAnsi="宋体" w:eastAsia="宋体" w:cs="Times New Roman"/>
          <w:sz w:val="24"/>
          <w:lang w:val="en-US" w:eastAsia="zh-CN"/>
        </w:rPr>
        <w:t>区域多源固废循环利用智慧决策平台开发</w:t>
      </w:r>
    </w:p>
    <w:p w14:paraId="083C9256">
      <w:pPr>
        <w:spacing w:line="360" w:lineRule="auto"/>
        <w:ind w:firstLine="480" w:firstLineChars="200"/>
        <w:rPr>
          <w:rFonts w:hint="eastAsia" w:ascii="宋体" w:hAnsi="宋体"/>
          <w:color w:val="auto"/>
          <w:sz w:val="24"/>
          <w:highlight w:val="none"/>
        </w:rPr>
      </w:pPr>
      <w:r>
        <w:rPr>
          <w:rFonts w:hint="eastAsia" w:ascii="宋体" w:hAnsi="宋体"/>
          <w:sz w:val="24"/>
        </w:rPr>
        <w:t>以上</w:t>
      </w:r>
      <w:r>
        <w:rPr>
          <w:rFonts w:hint="eastAsia" w:ascii="宋体" w:hAnsi="宋体"/>
          <w:color w:val="auto"/>
          <w:sz w:val="24"/>
        </w:rPr>
        <w:t>所</w:t>
      </w:r>
      <w:r>
        <w:rPr>
          <w:rFonts w:hint="eastAsia" w:ascii="宋体" w:hAnsi="宋体"/>
          <w:color w:val="auto"/>
          <w:sz w:val="24"/>
          <w:highlight w:val="none"/>
        </w:rPr>
        <w:t>述内容的开发、调试、运行，以及对甲方必要的配合工作。</w:t>
      </w:r>
      <w:bookmarkStart w:id="3" w:name="_Hlk151975895"/>
    </w:p>
    <w:p w14:paraId="058ACA39">
      <w:pPr>
        <w:spacing w:line="360" w:lineRule="auto"/>
        <w:ind w:firstLine="480" w:firstLineChars="200"/>
        <w:rPr>
          <w:rFonts w:hint="eastAsia" w:ascii="宋体" w:hAnsi="宋体"/>
          <w:color w:val="auto"/>
          <w:sz w:val="24"/>
          <w:highlight w:val="none"/>
        </w:rPr>
      </w:pPr>
      <w:r>
        <w:rPr>
          <w:rFonts w:hint="eastAsia" w:ascii="宋体" w:hAnsi="宋体"/>
          <w:color w:val="auto"/>
          <w:sz w:val="24"/>
          <w:highlight w:val="none"/>
        </w:rPr>
        <w:t>（详见附件</w:t>
      </w:r>
      <w:r>
        <w:rPr>
          <w:rFonts w:ascii="宋体" w:hAnsi="宋体"/>
          <w:color w:val="auto"/>
          <w:sz w:val="24"/>
          <w:highlight w:val="none"/>
        </w:rPr>
        <w:t>1</w:t>
      </w:r>
      <w:r>
        <w:rPr>
          <w:rFonts w:hint="eastAsia" w:ascii="宋体" w:hAnsi="宋体"/>
          <w:color w:val="auto"/>
          <w:sz w:val="24"/>
          <w:highlight w:val="none"/>
        </w:rPr>
        <w:t>）</w:t>
      </w:r>
      <w:bookmarkEnd w:id="3"/>
    </w:p>
    <w:p w14:paraId="335E8707">
      <w:pPr>
        <w:spacing w:line="360" w:lineRule="auto"/>
        <w:ind w:firstLine="480" w:firstLineChars="200"/>
        <w:rPr>
          <w:rFonts w:hint="eastAsia" w:ascii="宋体" w:hAnsi="宋体"/>
          <w:sz w:val="24"/>
        </w:rPr>
      </w:pPr>
      <w:r>
        <w:rPr>
          <w:rFonts w:hint="eastAsia" w:ascii="宋体" w:hAnsi="宋体" w:eastAsia="宋体" w:cs="Times New Roman"/>
          <w:color w:val="auto"/>
          <w:sz w:val="24"/>
          <w:highlight w:val="none"/>
        </w:rPr>
        <w:t>2.</w:t>
      </w:r>
      <w:r>
        <w:rPr>
          <w:rFonts w:hint="eastAsia" w:ascii="宋体" w:hAnsi="宋体" w:cs="Times New Roman"/>
          <w:color w:val="auto"/>
          <w:sz w:val="24"/>
          <w:highlight w:val="none"/>
          <w:lang w:val="en-US" w:eastAsia="zh-CN"/>
        </w:rPr>
        <w:t>3</w:t>
      </w:r>
      <w:r>
        <w:rPr>
          <w:rFonts w:hint="eastAsia" w:ascii="宋体" w:hAnsi="宋体" w:eastAsia="宋体" w:cs="Times New Roman"/>
          <w:color w:val="auto"/>
          <w:sz w:val="24"/>
          <w:highlight w:val="none"/>
        </w:rPr>
        <w:t>服务期限：</w:t>
      </w:r>
      <w:r>
        <w:rPr>
          <w:rFonts w:hint="eastAsia" w:ascii="宋体" w:hAnsi="宋体"/>
          <w:sz w:val="24"/>
          <w:highlight w:val="none"/>
          <w:lang w:val="en-US" w:eastAsia="zh-CN"/>
        </w:rPr>
        <w:t>自系统开发所需铺底数据（一个月数据）完善后，至现场部署完成，投入试运，实施周期不大于3个月。最终完成上线测</w:t>
      </w:r>
      <w:r>
        <w:rPr>
          <w:rFonts w:hint="eastAsia" w:ascii="宋体" w:hAnsi="宋体"/>
          <w:sz w:val="24"/>
          <w:lang w:val="en-US" w:eastAsia="zh-CN"/>
        </w:rPr>
        <w:t>试日期不晚于10月30日。进度根据双方实际情况进行，但投标人要服从招标人项目进度管理及任务量完成成果的认定。</w:t>
      </w:r>
    </w:p>
    <w:p w14:paraId="3CDE035E">
      <w:pPr>
        <w:spacing w:line="360" w:lineRule="auto"/>
        <w:ind w:firstLine="480" w:firstLineChars="200"/>
        <w:rPr>
          <w:rFonts w:hint="eastAsia" w:ascii="宋体" w:hAnsi="宋体"/>
          <w:color w:val="auto"/>
          <w:sz w:val="24"/>
        </w:rPr>
      </w:pPr>
      <w:r>
        <w:rPr>
          <w:rFonts w:hint="eastAsia" w:ascii="宋体" w:hAnsi="宋体"/>
          <w:color w:val="auto"/>
          <w:sz w:val="24"/>
        </w:rPr>
        <w:t>2</w:t>
      </w:r>
      <w:r>
        <w:rPr>
          <w:rFonts w:ascii="宋体" w:hAnsi="宋体"/>
          <w:color w:val="auto"/>
          <w:sz w:val="24"/>
        </w:rPr>
        <w:t>.</w:t>
      </w:r>
      <w:r>
        <w:rPr>
          <w:rFonts w:hint="eastAsia" w:ascii="宋体" w:hAnsi="宋体"/>
          <w:color w:val="auto"/>
          <w:sz w:val="24"/>
          <w:lang w:val="en-US" w:eastAsia="zh-CN"/>
        </w:rPr>
        <w:t>4</w:t>
      </w:r>
      <w:r>
        <w:rPr>
          <w:rFonts w:hint="eastAsia" w:ascii="宋体" w:hAnsi="宋体"/>
          <w:color w:val="auto"/>
          <w:sz w:val="24"/>
        </w:rPr>
        <w:t>质量保证：乙方保证其提供的技术服务符合国家有关标准及规范的规定、本合同约定。乙方对其服务问题而造成的任何损失或故障负责。</w:t>
      </w:r>
    </w:p>
    <w:p w14:paraId="391D20F2">
      <w:pPr>
        <w:spacing w:line="360" w:lineRule="auto"/>
        <w:ind w:firstLine="480" w:firstLineChars="200"/>
        <w:rPr>
          <w:rFonts w:hint="eastAsia" w:ascii="宋体" w:hAnsi="宋体"/>
          <w:sz w:val="24"/>
        </w:rPr>
      </w:pPr>
      <w:r>
        <w:rPr>
          <w:rFonts w:hint="eastAsia" w:ascii="宋体" w:hAnsi="宋体"/>
          <w:color w:val="auto"/>
          <w:sz w:val="24"/>
        </w:rPr>
        <w:t>2</w:t>
      </w:r>
      <w:r>
        <w:rPr>
          <w:rFonts w:ascii="宋体" w:hAnsi="宋体"/>
          <w:color w:val="auto"/>
          <w:sz w:val="24"/>
        </w:rPr>
        <w:t>.</w:t>
      </w:r>
      <w:r>
        <w:rPr>
          <w:rFonts w:hint="eastAsia" w:ascii="宋体" w:hAnsi="宋体"/>
          <w:color w:val="auto"/>
          <w:sz w:val="24"/>
          <w:lang w:val="en-US" w:eastAsia="zh-CN"/>
        </w:rPr>
        <w:t>5</w:t>
      </w:r>
      <w:r>
        <w:rPr>
          <w:rFonts w:hint="eastAsia" w:ascii="宋体" w:hAnsi="宋体"/>
          <w:color w:val="auto"/>
          <w:sz w:val="24"/>
        </w:rPr>
        <w:t>质保期：</w:t>
      </w:r>
      <w:r>
        <w:rPr>
          <w:rFonts w:hint="eastAsia" w:ascii="宋体" w:hAnsi="宋体"/>
          <w:color w:val="auto"/>
          <w:sz w:val="24"/>
          <w:lang w:val="en-US" w:eastAsia="zh-CN"/>
        </w:rPr>
        <w:t>1.5</w:t>
      </w:r>
      <w:r>
        <w:rPr>
          <w:rFonts w:hint="eastAsia" w:ascii="宋体" w:hAnsi="宋体"/>
          <w:color w:val="auto"/>
          <w:sz w:val="24"/>
        </w:rPr>
        <w:t>年，技术服务的工作内容执行完毕，现场签</w:t>
      </w:r>
      <w:r>
        <w:rPr>
          <w:rFonts w:hint="eastAsia" w:ascii="宋体" w:hAnsi="宋体"/>
          <w:sz w:val="24"/>
        </w:rPr>
        <w:t>订验收报告之日起计算质保期。质保期内若出现质量缺陷或设备故障，乙方应及时到场排除，免费负责修订程序。</w:t>
      </w:r>
    </w:p>
    <w:p w14:paraId="1687C798">
      <w:pPr>
        <w:pStyle w:val="3"/>
        <w:numPr>
          <w:ilvl w:val="1"/>
          <w:numId w:val="0"/>
        </w:numPr>
        <w:ind w:leftChars="0"/>
        <w:rPr>
          <w:rFonts w:hint="eastAsia" w:ascii="宋体" w:hAnsi="宋体" w:eastAsia="宋体" w:cs="Times New Roman"/>
          <w:sz w:val="24"/>
          <w:lang w:val="en-US" w:eastAsia="zh-CN"/>
        </w:rPr>
      </w:pPr>
      <w:bookmarkStart w:id="4" w:name="_Toc15688"/>
      <w:r>
        <w:rPr>
          <w:rFonts w:hint="eastAsia" w:ascii="宋体" w:hAnsi="宋体" w:eastAsia="宋体"/>
        </w:rPr>
        <w:t>附件1：技术服务内容及范围</w:t>
      </w:r>
      <w:bookmarkEnd w:id="4"/>
    </w:p>
    <w:p w14:paraId="0FC5B06D">
      <w:pPr>
        <w:numPr>
          <w:ilvl w:val="0"/>
          <w:numId w:val="0"/>
        </w:numPr>
        <w:spacing w:line="360" w:lineRule="auto"/>
        <w:jc w:val="left"/>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一、工作内容</w:t>
      </w:r>
    </w:p>
    <w:p w14:paraId="234BB39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以垃圾焚烧发电厂的渗沥液处理系统为核心，实现系统的工况感知、数据驱动、智能决策、闭环控制、安全可靠、可扩展的标准化智慧化管理，以实现水质稳定达标、设备高效运行、快速响应。</w:t>
      </w:r>
    </w:p>
    <w:p w14:paraId="15F8DCF6">
      <w:pPr>
        <w:spacing w:line="360" w:lineRule="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二、工作范围：</w:t>
      </w:r>
    </w:p>
    <w:p w14:paraId="1CF29F0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从事数字化及智能化项目的开发及实施工作</w:t>
      </w:r>
    </w:p>
    <w:p w14:paraId="2673264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从事软件系统模块的功能设计、数据库设计工作</w:t>
      </w:r>
    </w:p>
    <w:p w14:paraId="3D61982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从事软件功能的代码开发及测试工作</w:t>
      </w:r>
    </w:p>
    <w:p w14:paraId="77027E4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从事项目在现场环境的安装、部署、调试、培训等</w:t>
      </w:r>
    </w:p>
    <w:p w14:paraId="6DF3675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从事项目开发过程所需的文档编写工作</w:t>
      </w:r>
    </w:p>
    <w:p w14:paraId="4AC05C7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从事项目管理及沟通协调工作</w:t>
      </w:r>
    </w:p>
    <w:p w14:paraId="2E2C781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配合招标方做其他与软件开发有关的技术服务工作</w:t>
      </w:r>
    </w:p>
    <w:p w14:paraId="3160393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向招标方全程提供全程技术支持与咨询服务</w:t>
      </w:r>
    </w:p>
    <w:p w14:paraId="0CE9B79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提供1.5年以内的售后服务。</w:t>
      </w:r>
    </w:p>
    <w:p w14:paraId="066CBC68">
      <w:pPr>
        <w:numPr>
          <w:ilvl w:val="0"/>
          <w:numId w:val="2"/>
        </w:numPr>
        <w:spacing w:line="360" w:lineRule="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标准及规范</w:t>
      </w:r>
    </w:p>
    <w:p w14:paraId="51912D6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如无特别声明，本工程范围内所有系统的具体设计与实施建设应遵循以下国家及行业技术规范：</w:t>
      </w:r>
    </w:p>
    <w:p w14:paraId="04B22C7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EN 61131-3/IEC 1131 软件设计标准</w:t>
      </w:r>
    </w:p>
    <w:p w14:paraId="1FBD1D7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EN 60529/IEC 529 防护设计标准</w:t>
      </w:r>
    </w:p>
    <w:p w14:paraId="2C24117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EN 50014/50015/50016/50017/50018/50019/50020/50028 安全制造标准</w:t>
      </w:r>
    </w:p>
    <w:p w14:paraId="683DA22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IEEE 802.3 工业以太网标准</w:t>
      </w:r>
    </w:p>
    <w:p w14:paraId="3285FA0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以上国家或行业规范如有未涵盖的工程内容也应以国家或行业现有规范或通行法则为准。由投标人详细列出设计、制造、检查和试验的国家或行业相关具体标准及规范。</w:t>
      </w:r>
    </w:p>
    <w:p w14:paraId="35F2905D">
      <w:pPr>
        <w:numPr>
          <w:ilvl w:val="0"/>
          <w:numId w:val="2"/>
        </w:numPr>
        <w:spacing w:line="360" w:lineRule="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软件系统的基本要求</w:t>
      </w:r>
    </w:p>
    <w:p w14:paraId="7A82A06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软件系统的设计、开发、安装、调试、质量执行国家及行业/部颁相关标准。包括软件需求分析、系统设计、编码实现、测试验证、用户培训和技术支持。</w:t>
      </w:r>
    </w:p>
    <w:p w14:paraId="7EAC0928">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应保证提供的软件系统是完整齐全、技术先进、成熟可靠、质量优越、符合安全要求的产品。没有设计和使用上的缺陷，并且适合和满足在当地环境及工况条件下安全可靠、正常稳定运行的使用要求。故障率低、维护方便。</w:t>
      </w:r>
    </w:p>
    <w:p w14:paraId="02200B0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所提供的软件系统或其他有关任何一部分不受第三方提出侵犯专利权、著作权和工业设计权的起诉。如果任何第三方提出侵权指控，由投标方负责与提出侵权指控的第三方交涉并承担可能发生的一切费用和责任。</w:t>
      </w:r>
    </w:p>
    <w:p w14:paraId="2C1A6425">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保证所交付的技术文件资料是完整的、清楚的和正确的，并且能够满足软件安装、调试、使用、性能考核、操作和维护的要求。保证及时派遣合格的技术人员提供技术服务和技术培训。</w:t>
      </w:r>
    </w:p>
    <w:p w14:paraId="7ADCB07C">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长期优先、优价提供系统升级和更新服务。</w:t>
      </w:r>
    </w:p>
    <w:p w14:paraId="19344619">
      <w:pPr>
        <w:numPr>
          <w:ilvl w:val="0"/>
          <w:numId w:val="2"/>
        </w:numPr>
        <w:spacing w:line="360" w:lineRule="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工作内容：</w:t>
      </w:r>
    </w:p>
    <w:p w14:paraId="1510FE0F">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系统概述：</w:t>
      </w:r>
    </w:p>
    <w:p w14:paraId="387B372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本次开发的污水处理控制软件系统，包括数据采集和传输、数据的预处理（清洗、修补、相关性分析、特征值提取）、模型的选择和评估、模型的集成和优化效果、智能算法（可采用堆栈集成策略）和可视化监控功能。系统支持多终端应用，提供PC端操作模式，方便用户随时随地掌握系统运行工况。</w:t>
      </w:r>
    </w:p>
    <w:p w14:paraId="757D9EAC">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污水处理控制软件PC端：</w:t>
      </w:r>
    </w:p>
    <w:p w14:paraId="7A36EEC4">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可实现远程访问，并为不同类别人员提供不同的访问权限。</w:t>
      </w:r>
    </w:p>
    <w:p w14:paraId="42CC0E83">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能够接收并处理自传感器供应商、PLC和来自恩菲工业互联网平台的数据。</w:t>
      </w:r>
    </w:p>
    <w:p w14:paraId="2FAE4FCD">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提供线上训练和测试模型、自学习、目标寻优、报警管理、外部接口等模块。每个模块设单独界面管理。</w:t>
      </w:r>
    </w:p>
    <w:p w14:paraId="399D1E7C">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具备二次开发能力、为软件开发预留接口。</w:t>
      </w:r>
    </w:p>
    <w:p w14:paraId="5B866FB5">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算法单独模块，独立部署。</w:t>
      </w:r>
    </w:p>
    <w:p w14:paraId="2EC64DC8">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支持按名称进行多点位历史数据回溯分析。</w:t>
      </w:r>
    </w:p>
    <w:p w14:paraId="645424CA">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提供用户友好的界面，简化操作流程，提高用户体验。</w:t>
      </w:r>
    </w:p>
    <w:p w14:paraId="106808D5">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软件系统交付和文档</w:t>
      </w:r>
    </w:p>
    <w:p w14:paraId="47E91B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应确保软件系统的完整性和可靠性：</w:t>
      </w:r>
    </w:p>
    <w:p w14:paraId="74F3C8C9">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源代码：投标方应提供软件系统的完整源代码，包括所有自定义开发模块和插件。源代码应具有良好的注释，符合行业标准的编码规范，以便于招标方或其指定的第三方团队能够理解、维护和在未来进行升级或扩展，包括在1.5年质保期内升级维护的源代码。</w:t>
      </w:r>
    </w:p>
    <w:p w14:paraId="15A14F46">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测试报告：投标方必须提供详细的软件测试报告，该报告应包含所有进行过的测试计划、测试案例、测试结果以及发现的任何缺陷及其解决情况。测试应涵盖单元测试、集成测试、系统测试和性能测试，确保软件系统满足所有规定的功能和性能要求。</w:t>
      </w:r>
    </w:p>
    <w:p w14:paraId="591947C6">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用户手册和在线帮助：提供完整的用户手册和在线帮助文档，详细介绍软件系统的安装、配置、操作和使用流程。</w:t>
      </w:r>
    </w:p>
    <w:p w14:paraId="4A0E3A6A">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技术培训：投标方应提供技术培训服务，确保招标方的技术人员能够有效的使用和维护软件系统。</w:t>
      </w:r>
    </w:p>
    <w:p w14:paraId="0184F441">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系统维护和升级策略：投标方应详细说明软件系统的维护支持和升级策略，包括在质保期内提供的服务和质保期过后的支持选项。</w:t>
      </w:r>
    </w:p>
    <w:p w14:paraId="3098A05A">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功能需求</w:t>
      </w:r>
    </w:p>
    <w:p w14:paraId="78663EE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200" w:firstLine="0" w:firstLineChars="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4.1 登录页面</w:t>
      </w:r>
    </w:p>
    <w:p w14:paraId="77C206E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用户点击链接或者输入网站，进入平台登录页面，管理用户登录，对未授权用户不可登录。</w:t>
      </w:r>
    </w:p>
    <w:p w14:paraId="19A16171">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heme="minorEastAsia" w:hAnsiTheme="minorEastAsia" w:eastAsiaTheme="minorEastAsia" w:cstheme="minorEastAsia"/>
          <w:b/>
          <w:bCs/>
          <w:sz w:val="24"/>
          <w:lang w:val="en-US" w:eastAsia="zh-CN"/>
        </w:rPr>
      </w:pPr>
      <w:r>
        <w:rPr>
          <w:rFonts w:hint="eastAsia" w:asciiTheme="minorEastAsia" w:hAnsiTheme="minorEastAsia" w:eastAsiaTheme="minorEastAsia" w:cstheme="minorEastAsia"/>
          <w:b/>
          <w:bCs/>
          <w:sz w:val="24"/>
          <w:lang w:val="en-US" w:eastAsia="zh-CN"/>
        </w:rPr>
        <w:t>点击登录按钮：</w:t>
      </w:r>
    </w:p>
    <w:p w14:paraId="4D9C69A1">
      <w:pPr>
        <w:keepNext w:val="0"/>
        <w:keepLines w:val="0"/>
        <w:pageBreakBefore w:val="0"/>
        <w:widowControl w:val="0"/>
        <w:numPr>
          <w:ilvl w:val="0"/>
          <w:numId w:val="7"/>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平台将用户名、密码、时间戳数据加密后，调用后端登录api接口；</w:t>
      </w:r>
    </w:p>
    <w:p w14:paraId="3B57BD56">
      <w:pPr>
        <w:keepNext w:val="0"/>
        <w:keepLines w:val="0"/>
        <w:pageBreakBefore w:val="0"/>
        <w:widowControl w:val="0"/>
        <w:numPr>
          <w:ilvl w:val="0"/>
          <w:numId w:val="7"/>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后端接收数据，解密后对用户名、密码进行校验；</w:t>
      </w:r>
    </w:p>
    <w:p w14:paraId="3BC52A5F">
      <w:pPr>
        <w:keepNext w:val="0"/>
        <w:keepLines w:val="0"/>
        <w:pageBreakBefore w:val="0"/>
        <w:widowControl w:val="0"/>
        <w:numPr>
          <w:ilvl w:val="0"/>
          <w:numId w:val="7"/>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将校验结果加密后返回给前端；</w:t>
      </w:r>
    </w:p>
    <w:p w14:paraId="0B7EC523">
      <w:pPr>
        <w:keepNext w:val="0"/>
        <w:keepLines w:val="0"/>
        <w:pageBreakBefore w:val="0"/>
        <w:widowControl w:val="0"/>
        <w:numPr>
          <w:ilvl w:val="0"/>
          <w:numId w:val="7"/>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前端解析加密数据后，处理返回数据；</w:t>
      </w:r>
    </w:p>
    <w:p w14:paraId="62C92906">
      <w:pPr>
        <w:keepNext w:val="0"/>
        <w:keepLines w:val="0"/>
        <w:pageBreakBefore w:val="0"/>
        <w:widowControl w:val="0"/>
        <w:numPr>
          <w:ilvl w:val="0"/>
          <w:numId w:val="7"/>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返回校验正确数据，进入平台大屏展示页面；</w:t>
      </w:r>
    </w:p>
    <w:p w14:paraId="1BD78D69">
      <w:pPr>
        <w:keepNext w:val="0"/>
        <w:keepLines w:val="0"/>
        <w:pageBreakBefore w:val="0"/>
        <w:widowControl w:val="0"/>
        <w:numPr>
          <w:ilvl w:val="0"/>
          <w:numId w:val="7"/>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返回校验错误数据，平台提示用户、密码错误提示，在连续错误3次后，再登录时需要输入校验码才可发送登录请求。</w:t>
      </w:r>
    </w:p>
    <w:p w14:paraId="0A88A6AB">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heme="minorEastAsia" w:hAnsiTheme="minorEastAsia" w:eastAsiaTheme="minorEastAsia" w:cstheme="minorEastAsia"/>
          <w:b/>
          <w:bCs/>
          <w:sz w:val="24"/>
          <w:lang w:val="en-US" w:eastAsia="zh-CN"/>
        </w:rPr>
      </w:pPr>
      <w:r>
        <w:rPr>
          <w:rFonts w:hint="eastAsia" w:asciiTheme="minorEastAsia" w:hAnsiTheme="minorEastAsia" w:eastAsiaTheme="minorEastAsia" w:cstheme="minorEastAsia"/>
          <w:b/>
          <w:bCs/>
          <w:sz w:val="24"/>
          <w:lang w:val="en-US" w:eastAsia="zh-CN"/>
        </w:rPr>
        <w:t>点击忘记密码按钮：</w:t>
      </w:r>
    </w:p>
    <w:p w14:paraId="0F228D7D">
      <w:pPr>
        <w:keepNext w:val="0"/>
        <w:keepLines w:val="0"/>
        <w:pageBreakBefore w:val="0"/>
        <w:widowControl w:val="0"/>
        <w:numPr>
          <w:ilvl w:val="0"/>
          <w:numId w:val="8"/>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b w:val="0"/>
          <w:bCs w:val="0"/>
          <w:sz w:val="24"/>
          <w:lang w:val="en-US" w:eastAsia="zh-CN"/>
        </w:rPr>
      </w:pPr>
      <w:r>
        <w:rPr>
          <w:rFonts w:hint="eastAsia" w:asciiTheme="minorEastAsia" w:hAnsiTheme="minorEastAsia" w:eastAsiaTheme="minorEastAsia" w:cstheme="minorEastAsia"/>
          <w:b w:val="0"/>
          <w:bCs w:val="0"/>
          <w:sz w:val="24"/>
          <w:lang w:val="en-US" w:eastAsia="zh-CN"/>
        </w:rPr>
        <w:t>弹出输入邮箱页面；</w:t>
      </w:r>
    </w:p>
    <w:p w14:paraId="79C23B52">
      <w:pPr>
        <w:keepNext w:val="0"/>
        <w:keepLines w:val="0"/>
        <w:pageBreakBefore w:val="0"/>
        <w:widowControl w:val="0"/>
        <w:numPr>
          <w:ilvl w:val="0"/>
          <w:numId w:val="8"/>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b w:val="0"/>
          <w:bCs w:val="0"/>
          <w:sz w:val="24"/>
          <w:lang w:val="en-US" w:eastAsia="zh-CN"/>
        </w:rPr>
      </w:pPr>
      <w:r>
        <w:rPr>
          <w:rFonts w:hint="eastAsia" w:asciiTheme="minorEastAsia" w:hAnsiTheme="minorEastAsia" w:eastAsiaTheme="minorEastAsia" w:cstheme="minorEastAsia"/>
          <w:b w:val="0"/>
          <w:bCs w:val="0"/>
          <w:sz w:val="24"/>
          <w:lang w:val="en-US" w:eastAsia="zh-CN"/>
        </w:rPr>
        <w:t>输入邮箱，并确定；</w:t>
      </w:r>
    </w:p>
    <w:p w14:paraId="3793B307">
      <w:pPr>
        <w:keepNext w:val="0"/>
        <w:keepLines w:val="0"/>
        <w:pageBreakBefore w:val="0"/>
        <w:widowControl w:val="0"/>
        <w:numPr>
          <w:ilvl w:val="0"/>
          <w:numId w:val="8"/>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b w:val="0"/>
          <w:bCs w:val="0"/>
          <w:sz w:val="24"/>
          <w:lang w:val="en-US" w:eastAsia="zh-CN"/>
        </w:rPr>
      </w:pPr>
      <w:r>
        <w:rPr>
          <w:rFonts w:hint="eastAsia" w:asciiTheme="minorEastAsia" w:hAnsiTheme="minorEastAsia" w:eastAsiaTheme="minorEastAsia" w:cstheme="minorEastAsia"/>
          <w:b w:val="0"/>
          <w:bCs w:val="0"/>
          <w:sz w:val="24"/>
          <w:lang w:val="en-US" w:eastAsia="zh-CN"/>
        </w:rPr>
        <w:t>后端接收邮箱信息，查询是否存在该邮箱，存在则向邮箱发送重置密码邮件，邮件中包含重置密码链接，链接有效期30分钟；</w:t>
      </w:r>
    </w:p>
    <w:p w14:paraId="0E40E639">
      <w:pPr>
        <w:keepNext w:val="0"/>
        <w:keepLines w:val="0"/>
        <w:pageBreakBefore w:val="0"/>
        <w:widowControl w:val="0"/>
        <w:numPr>
          <w:ilvl w:val="0"/>
          <w:numId w:val="8"/>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b w:val="0"/>
          <w:bCs w:val="0"/>
          <w:sz w:val="24"/>
          <w:lang w:val="en-US" w:eastAsia="zh-CN"/>
        </w:rPr>
      </w:pPr>
      <w:r>
        <w:rPr>
          <w:rFonts w:hint="eastAsia" w:asciiTheme="minorEastAsia" w:hAnsiTheme="minorEastAsia" w:eastAsiaTheme="minorEastAsia" w:cstheme="minorEastAsia"/>
          <w:b w:val="0"/>
          <w:bCs w:val="0"/>
          <w:sz w:val="24"/>
          <w:lang w:val="en-US" w:eastAsia="zh-CN"/>
        </w:rPr>
        <w:t>用户点击邮件中的重置密码链接，平台进入重置密码页面，修改密码。</w:t>
      </w:r>
    </w:p>
    <w:p w14:paraId="0428BD6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4.2 用户界面</w:t>
      </w:r>
    </w:p>
    <w:p w14:paraId="696586D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（1）系统监视界面</w:t>
      </w:r>
    </w:p>
    <w:p w14:paraId="6CBB9CDE">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0" w:firstLine="147" w:firstLineChars="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根据招标方提供要求，绘制主工艺系统界面和AI预测值实际值、各种过程监测值。</w:t>
      </w:r>
    </w:p>
    <w:p w14:paraId="15F8481D">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0" w:firstLine="147" w:firstLineChars="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显示主要设备实时电耗和曲线。</w:t>
      </w:r>
    </w:p>
    <w:p w14:paraId="08476BCF">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0" w:firstLine="147" w:firstLineChars="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显示各子工艺系统水质指标AI值和实际值曲线对比。</w:t>
      </w:r>
    </w:p>
    <w:p w14:paraId="3EE71093">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0" w:firstLine="147" w:firstLineChars="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按班次显示系统投运率。</w:t>
      </w:r>
    </w:p>
    <w:p w14:paraId="47696091">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0" w:firstLine="147" w:firstLineChars="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根据招标方要求，对于超出阈值的数据信息进行系统监视界面数据换色闪烁报警提示</w:t>
      </w:r>
    </w:p>
    <w:p w14:paraId="68B47DF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（2）分析评估界面</w:t>
      </w:r>
    </w:p>
    <w:p w14:paraId="7458CA65">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0" w:firstLine="147" w:firstLineChars="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按月、年，绘制进出水水质、进水量、污染物去除率、产水量、系统效率、一级DO、主要设备电耗、吨处理电耗等表格及图。</w:t>
      </w:r>
    </w:p>
    <w:p w14:paraId="67BBFB4C">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0" w:firstLine="147" w:firstLineChars="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设置历史点位查询弹出窗口。根据时间和设备名称，可以同时显示5条曲线对比。</w:t>
      </w:r>
    </w:p>
    <w:p w14:paraId="034F409F">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0" w:firstLine="147" w:firstLineChars="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按选择时间进行报警列表统计。包括报警开始时间、停止时间，点位及名称，报警数据等。</w:t>
      </w:r>
    </w:p>
    <w:p w14:paraId="53B149D1">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0" w:firstLine="147" w:firstLineChars="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自学习</w:t>
      </w:r>
    </w:p>
    <w:p w14:paraId="1EE859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用户点击自学习弹窗按钮，输入管理员密码，登录自学习界面。</w:t>
      </w:r>
    </w:p>
    <w:p w14:paraId="7BA91A3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勾选定期自学习，设定自学习周期，点击确定按钮。软件自动连接数据库按设定周期直执行自学习。</w:t>
      </w:r>
    </w:p>
    <w:p w14:paraId="4D5597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勾选自定义学习，选择自学习时间段，点击确定按钮。软件自动连接数据库按执行自学习一次。</w:t>
      </w:r>
    </w:p>
    <w:p w14:paraId="459A0645">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0" w:firstLine="147" w:firstLineChars="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目标寻优界面</w:t>
      </w:r>
    </w:p>
    <w:p w14:paraId="6F53E0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用户点击目标寻优弹窗按钮，输入管理员密码，登录目标寻优界面。</w:t>
      </w:r>
    </w:p>
    <w:p w14:paraId="33DF1D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勾选出水水质指标，输入目标值，点击确定按钮。软件自动连接数据库以出水水质指标设定值为目标执行。</w:t>
      </w:r>
    </w:p>
    <w:p w14:paraId="63D9A1F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勾选电耗，点击确定按钮。软件自动连接数据库以电耗最优为目标执行。</w:t>
      </w:r>
    </w:p>
    <w:p w14:paraId="055C94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勾选费用，输入排污费单价，点击确定按钮。软件自动连接数据库以费用最低为目标执行。</w:t>
      </w:r>
    </w:p>
    <w:p w14:paraId="12BF8F9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软件可以同时勾选2个及以上寻优目标，软件自动连接数据库以同时勾选目标为执行寻优。</w:t>
      </w:r>
    </w:p>
    <w:p w14:paraId="20BFBF1C">
      <w:pPr>
        <w:keepNext w:val="0"/>
        <w:keepLines w:val="0"/>
        <w:pageBreakBefore w:val="0"/>
        <w:widowControl/>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其他说明</w:t>
      </w:r>
    </w:p>
    <w:p w14:paraId="66B8E9F4">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上述内容，为初步拟定的内容，实施过程中需要投标方根据招标方需求和实际情况进行细节调整。</w:t>
      </w:r>
    </w:p>
    <w:p w14:paraId="61CB37AA">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上述内容的展示方式均为拟采用方式，实际实施过程中投标方需根据招标方需求和实际情况进行调整。</w:t>
      </w:r>
    </w:p>
    <w:p w14:paraId="14387DE7">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highlight w:val="cyan"/>
          <w:lang w:val="en-US" w:eastAsia="zh-CN"/>
        </w:rPr>
        <w:t>一个月内完成用户登录、数据初步接入，并确保功能和数据的稳定性和可靠性</w:t>
      </w:r>
      <w:r>
        <w:rPr>
          <w:rFonts w:hint="eastAsia" w:asciiTheme="minorEastAsia" w:hAnsiTheme="minorEastAsia" w:eastAsiaTheme="minorEastAsia" w:cstheme="minorEastAsia"/>
          <w:sz w:val="24"/>
          <w:lang w:val="en-US" w:eastAsia="zh-CN"/>
        </w:rPr>
        <w:t>。这些功能的完成标志着项目第一阶段的关</w:t>
      </w:r>
      <w:bookmarkStart w:id="5" w:name="_GoBack"/>
      <w:bookmarkEnd w:id="5"/>
      <w:r>
        <w:rPr>
          <w:rFonts w:hint="eastAsia" w:asciiTheme="minorEastAsia" w:hAnsiTheme="minorEastAsia" w:eastAsiaTheme="minorEastAsia" w:cstheme="minorEastAsia"/>
          <w:sz w:val="24"/>
          <w:lang w:val="en-US" w:eastAsia="zh-CN"/>
        </w:rPr>
        <w:t>键里程碑，为后续开发奠定基础。</w:t>
      </w:r>
    </w:p>
    <w:p w14:paraId="77E970BC">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投标方应确保软件系统的完整性、性能和用户体验达到预器目标，并准备好进行系统的整体测试和用户验收。</w:t>
      </w:r>
    </w:p>
    <w:p w14:paraId="493C2D73">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售后维护期内，投标方需提供优化服务，以修正发现的任何问题或不足。优化服务时间不应多于20天，以确保软件系统的连续运行和改进。交付后如发现较小的不完善的功能需免费及时提供支持。</w:t>
      </w:r>
    </w:p>
    <w:p w14:paraId="6E5E0EC0">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售后维护期后，投标方应优先提供升级维护服务，以支持招标方的持续运营和软件系统的长期改进。这包括但不限于提供最新的软件更新、安全补丁以及性能和功能增强措施。</w:t>
      </w:r>
    </w:p>
    <w:p w14:paraId="31F2B42C">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本软件系统的版权及所有相关知识产权，包括但不限于软件著作权（软著）、专利、商标、商业秘密等，均归招标方所有。</w:t>
      </w:r>
    </w:p>
    <w:p w14:paraId="2C0ACA12">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软件开发时，必须严格遵守使用的开源软件协议条款，不得违反这些协议所规定的使用条件和限制。开源协议通常明确规定了对于源代码的使用、修改、分发和商业化等方面的权限和要求，开发者在利用这些开源资源构建软件产品时，应仔细了解并遵循相应的许可证规定，以确保合法合规地利用开源代码，避免引发版权纠纷或法律责任。</w:t>
      </w:r>
    </w:p>
    <w:p w14:paraId="27D53AF8">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考虑到系统的复杂性以及算法部署，投标方需利用python语言开发系统智能控制软件系统。</w:t>
      </w:r>
    </w:p>
    <w:p w14:paraId="10CAA52D">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机理算法模型，需要单独做一个小的模型管理系统部署在单独的服务器上，作为整个系统的一部分。</w:t>
      </w:r>
    </w:p>
    <w:p w14:paraId="7B4D4B13">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质量保证</w:t>
      </w:r>
    </w:p>
    <w:p w14:paraId="13650458">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应提供软件开发质量管理系统说明及本文件相关产品的质量活动记录。这包括但不限于软件需求管理、设计规范、编码标准、测试流程以及配置管理等。</w:t>
      </w:r>
    </w:p>
    <w:p w14:paraId="7AFDEDB3">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应保证开发过程中的所有流程、工具、测试等（包括卖方的外购或开源软件在内）均应符合本技术协议的规定。若招标方根据运行经验指定卖方采用某种特定的第三方软件或库，投标方应积极配合。</w:t>
      </w:r>
    </w:p>
    <w:p w14:paraId="400B646E">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所有附属及配套软件必须满足本文件的有关规定要求，并提供试验报告和产品合格证。对于软件系统，这应包括软件测试报告和用户验收测试结果。</w:t>
      </w:r>
    </w:p>
    <w:p w14:paraId="6A82111E">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应有遵守本文件中各条款和工作项目的软件开发质量保证体系，该质量保证体系应已通过国家认证和正常运转。这应包括定期的内部和外部审核，以确保质量管理体系的有效性和持续改进。</w:t>
      </w:r>
    </w:p>
    <w:p w14:paraId="476145C7">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软件的检查和试验</w:t>
      </w:r>
    </w:p>
    <w:p w14:paraId="1341DDA6">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应按照相关要求进行软件检查和试验，以保证所供软件产品的质量完全符合技术要求。这包括但不限于软件的功能测试、性能测试、安全测试和用户接受测试。</w:t>
      </w:r>
    </w:p>
    <w:p w14:paraId="4CA84962">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派遣检查人员对软件进行检验时，应免费提供给检查者任其使用的全部文档，包括需求规格说明书、设计文档、用户手册以及测试报告等。此外，投标方应提供必要的演示环境和辅助工具，以便检查人员能够执行他们的任务。</w:t>
      </w:r>
    </w:p>
    <w:p w14:paraId="49DC5D8F">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性能保证</w:t>
      </w:r>
    </w:p>
    <w:p w14:paraId="0EA1CF77">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保证所供软件系统完全符合本文件对所要求的软件设计、开发、测试和部署等方面的要求。这包括但不限于软件的功能完整性、可靠性、易用性、可维护性和性能指标。</w:t>
      </w:r>
    </w:p>
    <w:p w14:paraId="36A71C02">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在售后服务内，由于软件设计、开发、测试或配置方面的原因出现的性能问题或故障，将提供免费改进、修理或更换相关的软件组件服务或提供相应的补丁。</w:t>
      </w:r>
    </w:p>
    <w:p w14:paraId="324F9F00">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应确保软件系统的稳定性和可靠性，以及与其他系统的兼容性。如果软件系统未能满足协议中规定的性能标准，有责任采取必要的补救措施，以确保软件系统达到既定的性能标准。</w:t>
      </w:r>
    </w:p>
    <w:p w14:paraId="2B47AB96">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应提供软件性能的详细指标，并在合同中明确这些指标。这些性能指标包括但不限于处理速度、数据处理能力、响应时间、系统可用性以及其他与软件性能相关的度量标准。响应时间方面，点击一个按钮的响应时间不高于200ms；用户并发数，支持不低于100个用户登录使用。</w:t>
      </w:r>
    </w:p>
    <w:p w14:paraId="74A00089">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应在交付软件系统前，进行全面的系统测试，以验证软件系统满足所有规定的性能要求，并记录测试结果供招标方审核。</w:t>
      </w:r>
    </w:p>
    <w:p w14:paraId="22371462">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应提供软件系统的用户验收测试支持，确保软件系统按照招标方的业务需求正常运行，并达到预定的性能标准。</w:t>
      </w:r>
    </w:p>
    <w:p w14:paraId="66D1977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十、功能要求</w:t>
      </w:r>
    </w:p>
    <w:p w14:paraId="158FB5A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（1）实时监控与决策支持</w:t>
      </w:r>
    </w:p>
    <w:p w14:paraId="389888F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根据招标方提供界面设计要求完成：</w:t>
      </w:r>
    </w:p>
    <w:p w14:paraId="5CB12F5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总览大屏：展示系统工艺、水质、设备、电耗、过程参数，支持多参数历史查询等。</w:t>
      </w:r>
    </w:p>
    <w:p w14:paraId="2DF08E5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报表自动生成：日报、周报、月报、年报，支持导出与上报。</w:t>
      </w:r>
    </w:p>
    <w:p w14:paraId="2220D0F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趋势分析：多指标年度月度对比（进出水水质）、进水量、污染物去除率、一级DO、主要设备电耗、吨处理电耗和预警统计。</w:t>
      </w:r>
    </w:p>
    <w:p w14:paraId="6CA4199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（2）智能预警与异常诊断</w:t>
      </w:r>
    </w:p>
    <w:p w14:paraId="7E6737F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预警类型：水质超标、设备故障、能耗异常、参数偏离、液位超限等。</w:t>
      </w:r>
    </w:p>
    <w:p w14:paraId="52F762F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预警分级：一般、严重、紧急，响应时间≤5分钟，声光报警并推送。</w:t>
      </w:r>
    </w:p>
    <w:p w14:paraId="71862F2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原因分析：自动关联数据，给出异常原因与处置建议。</w:t>
      </w:r>
    </w:p>
    <w:p w14:paraId="70EF88D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（3）智能优化与控制</w:t>
      </w:r>
    </w:p>
    <w:p w14:paraId="46AC99B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根据招标方提供算法完成：</w:t>
      </w:r>
    </w:p>
    <w:p w14:paraId="5C499A6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排水指标控制：基于系统过程参数，协同控制、达标排放。</w:t>
      </w:r>
    </w:p>
    <w:p w14:paraId="4A247D5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曝气优化：基于DO、ORP、进水负荷等动态调节风量，降低电耗。</w:t>
      </w:r>
    </w:p>
    <w:p w14:paraId="7EB45EF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污泥处理优化：根据指标按需排泥。</w:t>
      </w:r>
    </w:p>
    <w:p w14:paraId="670D169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（4）集成与开放</w:t>
      </w:r>
    </w:p>
    <w:p w14:paraId="481D8D6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对接现有系统：PLC、DCS、SCADA、ECS等。</w:t>
      </w:r>
    </w:p>
    <w:p w14:paraId="3C1B364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开放API：支持第三方应用接入与二次开发。</w:t>
      </w:r>
    </w:p>
    <w:p w14:paraId="770B4EA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十一、关键技术指标要求</w:t>
      </w:r>
    </w:p>
    <w:p w14:paraId="3A7DB59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（1）数据采集：有效率≥95%，延迟≤3秒，采样频率30s/次。</w:t>
      </w:r>
    </w:p>
    <w:p w14:paraId="5F2B4DD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（2）系统可用性：≥99.9%。</w:t>
      </w:r>
    </w:p>
    <w:p w14:paraId="59A984E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（3）数据存储：实时数据≥3年，历史数据≥5年，支持扩容。</w:t>
      </w:r>
    </w:p>
    <w:p w14:paraId="6125C1A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（4）安全等级：等保三级，数据加密传输与存储，操作留痕可追溯。</w:t>
      </w:r>
    </w:p>
    <w:p w14:paraId="2B048B8F">
      <w:pPr>
        <w:spacing w:line="360" w:lineRule="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十二、软件系统交付和文档</w:t>
      </w:r>
    </w:p>
    <w:p w14:paraId="5828AA9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应确保软件系统的完整性和可靠性：</w:t>
      </w:r>
    </w:p>
    <w:p w14:paraId="2DB4F78F">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源代码：投标方应提供软件系统的完整源代码，包括所有自定义开发模块和插件。源代码应具有良好的注释，符合行业标准的编码规范，以便于招标方或其指定的第三方团队能够理解、维护和在未来进行升级或扩展，包括在1.5年质保期内升级维护的源代码。</w:t>
      </w:r>
    </w:p>
    <w:p w14:paraId="041D6C01">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测试报告：投标方必须提供详细的软件测试报告，该报告应包含所有进行过的测试计划、测试案例、测试结果以及发现的任何缺陷及其解决情况。测试应涵盖单元测试、集成测试、系统测试和性能测试，确保软件系统满足所有规定的功能和性能要求。</w:t>
      </w:r>
    </w:p>
    <w:p w14:paraId="311DD150">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用户手册和在线帮助：提供完整的用户手册和在线帮助文档，详细介绍软件系统的安装、配置、操作和使用流程。</w:t>
      </w:r>
    </w:p>
    <w:p w14:paraId="6F03D64A">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技术培训：投标方应提供技术培训服务，确保招标方的技术人员能够有效的使用和维护软件系统。</w:t>
      </w:r>
    </w:p>
    <w:p w14:paraId="29AE075C">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系统维护和升级策略：投标方应详细说明软件系统的维护支持和升级策略，包括在质保期内提供的服务和质保期过后的支持选项。</w:t>
      </w:r>
    </w:p>
    <w:p w14:paraId="0003B7C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十三、实施周期</w:t>
      </w:r>
    </w:p>
    <w:p w14:paraId="4C39E594">
      <w:pPr>
        <w:keepNext w:val="0"/>
        <w:keepLines w:val="0"/>
        <w:pageBreakBefore w:val="0"/>
        <w:widowControl w:val="0"/>
        <w:numPr>
          <w:ilvl w:val="0"/>
          <w:numId w:val="6"/>
        </w:numPr>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asciiTheme="minorEastAsia" w:hAnsiTheme="minorEastAsia" w:eastAsiaTheme="minorEastAsia" w:cstheme="minorEastAsia"/>
          <w:sz w:val="24"/>
          <w:lang w:val="en-US" w:eastAsia="zh-CN"/>
        </w:rPr>
        <w:t>自系统开发所需铺底数据（一个月数据）完善后，至现场部署完成，投入试运，实施周期不大于3个月。最终完成上线测试日期不晚于10月30日。进度根据双方实际情况进行，但投标人要服从招标人项目进度管理及任务量完成成果的认定。项目进度确认节点（日期均为自然日）：</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1894"/>
        <w:gridCol w:w="4907"/>
        <w:gridCol w:w="885"/>
      </w:tblGrid>
      <w:tr w14:paraId="5854E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0" w:type="auto"/>
          </w:tcPr>
          <w:p w14:paraId="1E221A4C">
            <w:pPr>
              <w:keepNext w:val="0"/>
              <w:keepLines w:val="0"/>
              <w:pageBreakBefore w:val="0"/>
              <w:widowControl w:val="0"/>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序号</w:t>
            </w:r>
          </w:p>
        </w:tc>
        <w:tc>
          <w:tcPr>
            <w:tcW w:w="1894" w:type="dxa"/>
          </w:tcPr>
          <w:p w14:paraId="3D56DE3D">
            <w:pPr>
              <w:keepNext w:val="0"/>
              <w:keepLines w:val="0"/>
              <w:pageBreakBefore w:val="0"/>
              <w:widowControl w:val="0"/>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节点日期</w:t>
            </w:r>
          </w:p>
        </w:tc>
        <w:tc>
          <w:tcPr>
            <w:tcW w:w="4907" w:type="dxa"/>
          </w:tcPr>
          <w:p w14:paraId="34E21D9C">
            <w:pPr>
              <w:keepNext w:val="0"/>
              <w:keepLines w:val="0"/>
              <w:pageBreakBefore w:val="0"/>
              <w:widowControl w:val="0"/>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交付节点</w:t>
            </w:r>
          </w:p>
        </w:tc>
        <w:tc>
          <w:tcPr>
            <w:tcW w:w="885" w:type="dxa"/>
          </w:tcPr>
          <w:p w14:paraId="7D02FDB2">
            <w:pPr>
              <w:keepNext w:val="0"/>
              <w:keepLines w:val="0"/>
              <w:pageBreakBefore w:val="0"/>
              <w:widowControl w:val="0"/>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完成任务量</w:t>
            </w:r>
          </w:p>
        </w:tc>
      </w:tr>
      <w:tr w14:paraId="20867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0FFFA0F">
            <w:pPr>
              <w:keepNext w:val="0"/>
              <w:keepLines w:val="0"/>
              <w:pageBreakBefore w:val="0"/>
              <w:widowControl w:val="0"/>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1</w:t>
            </w:r>
          </w:p>
        </w:tc>
        <w:tc>
          <w:tcPr>
            <w:tcW w:w="1894" w:type="dxa"/>
          </w:tcPr>
          <w:p w14:paraId="4439741E">
            <w:pPr>
              <w:keepNext w:val="0"/>
              <w:keepLines w:val="0"/>
              <w:pageBreakBefore w:val="0"/>
              <w:widowControl w:val="0"/>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合同签订后7日</w:t>
            </w:r>
          </w:p>
        </w:tc>
        <w:tc>
          <w:tcPr>
            <w:tcW w:w="4907" w:type="dxa"/>
          </w:tcPr>
          <w:p w14:paraId="6B8498AC">
            <w:pPr>
              <w:keepNext w:val="0"/>
              <w:keepLines w:val="0"/>
              <w:pageBreakBefore w:val="0"/>
              <w:widowControl w:val="0"/>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完成项目需求分析，实现产品技术规格定义</w:t>
            </w:r>
          </w:p>
        </w:tc>
        <w:tc>
          <w:tcPr>
            <w:tcW w:w="885" w:type="dxa"/>
          </w:tcPr>
          <w:p w14:paraId="5639BB53">
            <w:pPr>
              <w:keepNext w:val="0"/>
              <w:keepLines w:val="0"/>
              <w:pageBreakBefore w:val="0"/>
              <w:widowControl w:val="0"/>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10%</w:t>
            </w:r>
          </w:p>
        </w:tc>
      </w:tr>
      <w:tr w14:paraId="6F013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0C3EBF7">
            <w:pPr>
              <w:keepNext w:val="0"/>
              <w:keepLines w:val="0"/>
              <w:pageBreakBefore w:val="0"/>
              <w:widowControl w:val="0"/>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2</w:t>
            </w:r>
          </w:p>
        </w:tc>
        <w:tc>
          <w:tcPr>
            <w:tcW w:w="1894" w:type="dxa"/>
            <w:shd w:val="clear" w:color="auto" w:fill="auto"/>
            <w:vAlign w:val="top"/>
          </w:tcPr>
          <w:p w14:paraId="4415DADA">
            <w:pPr>
              <w:keepNext w:val="0"/>
              <w:keepLines w:val="0"/>
              <w:pageBreakBefore w:val="0"/>
              <w:widowControl w:val="0"/>
              <w:kinsoku/>
              <w:wordWrap/>
              <w:overflowPunct/>
              <w:topLinePunct w:val="0"/>
              <w:autoSpaceDE/>
              <w:autoSpaceDN/>
              <w:bidi w:val="0"/>
              <w:adjustRightInd/>
              <w:snapToGrid/>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合同签订后14日</w:t>
            </w:r>
          </w:p>
        </w:tc>
        <w:tc>
          <w:tcPr>
            <w:tcW w:w="4907" w:type="dxa"/>
            <w:shd w:val="clear" w:color="auto" w:fill="auto"/>
            <w:vAlign w:val="top"/>
          </w:tcPr>
          <w:p w14:paraId="0F000BCB">
            <w:pPr>
              <w:keepNext w:val="0"/>
              <w:keepLines w:val="0"/>
              <w:pageBreakBefore w:val="0"/>
              <w:widowControl w:val="0"/>
              <w:kinsoku/>
              <w:wordWrap/>
              <w:overflowPunct/>
              <w:topLinePunct w:val="0"/>
              <w:autoSpaceDE/>
              <w:autoSpaceDN/>
              <w:bidi w:val="0"/>
              <w:adjustRightInd/>
              <w:snapToGrid/>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完成项目外部第三方系统对接方案的规划</w:t>
            </w:r>
          </w:p>
        </w:tc>
        <w:tc>
          <w:tcPr>
            <w:tcW w:w="885" w:type="dxa"/>
            <w:shd w:val="clear" w:color="auto" w:fill="auto"/>
            <w:vAlign w:val="top"/>
          </w:tcPr>
          <w:p w14:paraId="13EFE7FD">
            <w:pPr>
              <w:keepNext w:val="0"/>
              <w:keepLines w:val="0"/>
              <w:pageBreakBefore w:val="0"/>
              <w:widowControl w:val="0"/>
              <w:kinsoku/>
              <w:wordWrap/>
              <w:overflowPunct/>
              <w:topLinePunct w:val="0"/>
              <w:autoSpaceDE/>
              <w:autoSpaceDN/>
              <w:bidi w:val="0"/>
              <w:adjustRightInd/>
              <w:snapToGrid/>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20%</w:t>
            </w:r>
          </w:p>
        </w:tc>
      </w:tr>
      <w:tr w14:paraId="0CCF9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364A9E0">
            <w:pPr>
              <w:keepNext w:val="0"/>
              <w:keepLines w:val="0"/>
              <w:pageBreakBefore w:val="0"/>
              <w:widowControl w:val="0"/>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3</w:t>
            </w:r>
          </w:p>
        </w:tc>
        <w:tc>
          <w:tcPr>
            <w:tcW w:w="1894" w:type="dxa"/>
            <w:shd w:val="clear" w:color="auto" w:fill="auto"/>
            <w:vAlign w:val="top"/>
          </w:tcPr>
          <w:p w14:paraId="6479332D">
            <w:pPr>
              <w:keepNext w:val="0"/>
              <w:keepLines w:val="0"/>
              <w:pageBreakBefore w:val="0"/>
              <w:widowControl w:val="0"/>
              <w:kinsoku/>
              <w:wordWrap/>
              <w:overflowPunct/>
              <w:topLinePunct w:val="0"/>
              <w:autoSpaceDE/>
              <w:autoSpaceDN/>
              <w:bidi w:val="0"/>
              <w:adjustRightInd/>
              <w:snapToGrid/>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合同签订后28日</w:t>
            </w:r>
          </w:p>
        </w:tc>
        <w:tc>
          <w:tcPr>
            <w:tcW w:w="4907" w:type="dxa"/>
            <w:shd w:val="clear" w:color="auto" w:fill="auto"/>
            <w:vAlign w:val="top"/>
          </w:tcPr>
          <w:p w14:paraId="344556DF">
            <w:pPr>
              <w:keepNext w:val="0"/>
              <w:keepLines w:val="0"/>
              <w:pageBreakBefore w:val="0"/>
              <w:widowControl w:val="0"/>
              <w:kinsoku/>
              <w:wordWrap/>
              <w:overflowPunct/>
              <w:topLinePunct w:val="0"/>
              <w:autoSpaceDE/>
              <w:autoSpaceDN/>
              <w:bidi w:val="0"/>
              <w:adjustRightInd/>
              <w:snapToGrid/>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项目开发设计规划，包括概要设计和详细设计</w:t>
            </w:r>
          </w:p>
        </w:tc>
        <w:tc>
          <w:tcPr>
            <w:tcW w:w="885" w:type="dxa"/>
            <w:shd w:val="clear" w:color="auto" w:fill="auto"/>
            <w:vAlign w:val="top"/>
          </w:tcPr>
          <w:p w14:paraId="210C52F8">
            <w:pPr>
              <w:keepNext w:val="0"/>
              <w:keepLines w:val="0"/>
              <w:pageBreakBefore w:val="0"/>
              <w:widowControl w:val="0"/>
              <w:kinsoku/>
              <w:wordWrap/>
              <w:overflowPunct/>
              <w:topLinePunct w:val="0"/>
              <w:autoSpaceDE/>
              <w:autoSpaceDN/>
              <w:bidi w:val="0"/>
              <w:adjustRightInd/>
              <w:snapToGrid/>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30%</w:t>
            </w:r>
          </w:p>
        </w:tc>
      </w:tr>
      <w:tr w14:paraId="0A85E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3B09FE3">
            <w:pPr>
              <w:keepNext w:val="0"/>
              <w:keepLines w:val="0"/>
              <w:pageBreakBefore w:val="0"/>
              <w:widowControl w:val="0"/>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4</w:t>
            </w:r>
          </w:p>
        </w:tc>
        <w:tc>
          <w:tcPr>
            <w:tcW w:w="1894" w:type="dxa"/>
            <w:shd w:val="clear" w:color="auto" w:fill="auto"/>
            <w:vAlign w:val="top"/>
          </w:tcPr>
          <w:p w14:paraId="4FB23440">
            <w:pPr>
              <w:keepNext w:val="0"/>
              <w:keepLines w:val="0"/>
              <w:pageBreakBefore w:val="0"/>
              <w:widowControl w:val="0"/>
              <w:kinsoku/>
              <w:wordWrap/>
              <w:overflowPunct/>
              <w:topLinePunct w:val="0"/>
              <w:autoSpaceDE/>
              <w:autoSpaceDN/>
              <w:bidi w:val="0"/>
              <w:adjustRightInd/>
              <w:snapToGrid/>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合同签订后42日</w:t>
            </w:r>
          </w:p>
        </w:tc>
        <w:tc>
          <w:tcPr>
            <w:tcW w:w="4907" w:type="dxa"/>
            <w:shd w:val="clear" w:color="auto" w:fill="auto"/>
            <w:vAlign w:val="top"/>
          </w:tcPr>
          <w:p w14:paraId="4207361F">
            <w:pPr>
              <w:keepNext w:val="0"/>
              <w:keepLines w:val="0"/>
              <w:pageBreakBefore w:val="0"/>
              <w:widowControl w:val="0"/>
              <w:kinsoku/>
              <w:wordWrap/>
              <w:overflowPunct/>
              <w:topLinePunct w:val="0"/>
              <w:autoSpaceDE/>
              <w:autoSpaceDN/>
              <w:bidi w:val="0"/>
              <w:adjustRightInd/>
              <w:snapToGrid/>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完成数据接口对接和数据库建立、数据预处理和模型训练等</w:t>
            </w:r>
          </w:p>
        </w:tc>
        <w:tc>
          <w:tcPr>
            <w:tcW w:w="885" w:type="dxa"/>
            <w:shd w:val="clear" w:color="auto" w:fill="auto"/>
            <w:vAlign w:val="top"/>
          </w:tcPr>
          <w:p w14:paraId="7A039517">
            <w:pPr>
              <w:keepNext w:val="0"/>
              <w:keepLines w:val="0"/>
              <w:pageBreakBefore w:val="0"/>
              <w:widowControl w:val="0"/>
              <w:kinsoku/>
              <w:wordWrap/>
              <w:overflowPunct/>
              <w:topLinePunct w:val="0"/>
              <w:autoSpaceDE/>
              <w:autoSpaceDN/>
              <w:bidi w:val="0"/>
              <w:adjustRightInd/>
              <w:snapToGrid/>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50%</w:t>
            </w:r>
          </w:p>
        </w:tc>
      </w:tr>
      <w:tr w14:paraId="7E2E4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E45EAA0">
            <w:pPr>
              <w:keepNext w:val="0"/>
              <w:keepLines w:val="0"/>
              <w:pageBreakBefore w:val="0"/>
              <w:widowControl w:val="0"/>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5</w:t>
            </w:r>
          </w:p>
        </w:tc>
        <w:tc>
          <w:tcPr>
            <w:tcW w:w="1894" w:type="dxa"/>
            <w:shd w:val="clear" w:color="auto" w:fill="auto"/>
            <w:vAlign w:val="top"/>
          </w:tcPr>
          <w:p w14:paraId="2301FB1A">
            <w:pPr>
              <w:keepNext w:val="0"/>
              <w:keepLines w:val="0"/>
              <w:pageBreakBefore w:val="0"/>
              <w:widowControl w:val="0"/>
              <w:kinsoku/>
              <w:wordWrap/>
              <w:overflowPunct/>
              <w:topLinePunct w:val="0"/>
              <w:autoSpaceDE/>
              <w:autoSpaceDN/>
              <w:bidi w:val="0"/>
              <w:adjustRightInd/>
              <w:snapToGrid/>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合同签订后56日</w:t>
            </w:r>
          </w:p>
        </w:tc>
        <w:tc>
          <w:tcPr>
            <w:tcW w:w="4907" w:type="dxa"/>
            <w:shd w:val="clear" w:color="auto" w:fill="auto"/>
            <w:vAlign w:val="top"/>
          </w:tcPr>
          <w:p w14:paraId="3D213A38">
            <w:pPr>
              <w:keepNext w:val="0"/>
              <w:keepLines w:val="0"/>
              <w:pageBreakBefore w:val="0"/>
              <w:widowControl w:val="0"/>
              <w:kinsoku/>
              <w:wordWrap/>
              <w:overflowPunct/>
              <w:topLinePunct w:val="0"/>
              <w:autoSpaceDE/>
              <w:autoSpaceDN/>
              <w:bidi w:val="0"/>
              <w:adjustRightInd/>
              <w:snapToGrid/>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完成模型系统集成</w:t>
            </w:r>
          </w:p>
        </w:tc>
        <w:tc>
          <w:tcPr>
            <w:tcW w:w="885" w:type="dxa"/>
            <w:shd w:val="clear" w:color="auto" w:fill="auto"/>
            <w:vAlign w:val="top"/>
          </w:tcPr>
          <w:p w14:paraId="225D6774">
            <w:pPr>
              <w:keepNext w:val="0"/>
              <w:keepLines w:val="0"/>
              <w:pageBreakBefore w:val="0"/>
              <w:widowControl w:val="0"/>
              <w:kinsoku/>
              <w:wordWrap/>
              <w:overflowPunct/>
              <w:topLinePunct w:val="0"/>
              <w:autoSpaceDE/>
              <w:autoSpaceDN/>
              <w:bidi w:val="0"/>
              <w:adjustRightInd/>
              <w:snapToGrid/>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60%</w:t>
            </w:r>
          </w:p>
        </w:tc>
      </w:tr>
      <w:tr w14:paraId="2789C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D572822">
            <w:pPr>
              <w:keepNext w:val="0"/>
              <w:keepLines w:val="0"/>
              <w:pageBreakBefore w:val="0"/>
              <w:widowControl w:val="0"/>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6</w:t>
            </w:r>
          </w:p>
        </w:tc>
        <w:tc>
          <w:tcPr>
            <w:tcW w:w="1894" w:type="dxa"/>
            <w:shd w:val="clear" w:color="auto" w:fill="auto"/>
            <w:vAlign w:val="top"/>
          </w:tcPr>
          <w:p w14:paraId="778A1153">
            <w:pPr>
              <w:keepNext w:val="0"/>
              <w:keepLines w:val="0"/>
              <w:pageBreakBefore w:val="0"/>
              <w:widowControl w:val="0"/>
              <w:kinsoku/>
              <w:wordWrap/>
              <w:overflowPunct/>
              <w:topLinePunct w:val="0"/>
              <w:autoSpaceDE/>
              <w:autoSpaceDN/>
              <w:bidi w:val="0"/>
              <w:adjustRightInd/>
              <w:snapToGrid/>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合同签订后70日</w:t>
            </w:r>
          </w:p>
        </w:tc>
        <w:tc>
          <w:tcPr>
            <w:tcW w:w="4907" w:type="dxa"/>
            <w:shd w:val="clear" w:color="auto" w:fill="auto"/>
            <w:vAlign w:val="top"/>
          </w:tcPr>
          <w:p w14:paraId="6DAA6458">
            <w:pPr>
              <w:keepNext w:val="0"/>
              <w:keepLines w:val="0"/>
              <w:pageBreakBefore w:val="0"/>
              <w:widowControl w:val="0"/>
              <w:kinsoku/>
              <w:wordWrap/>
              <w:overflowPunct/>
              <w:topLinePunct w:val="0"/>
              <w:autoSpaceDE/>
              <w:autoSpaceDN/>
              <w:bidi w:val="0"/>
              <w:adjustRightInd/>
              <w:snapToGrid/>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完成系统应用功能的开发集成实现系统功能版本部署</w:t>
            </w:r>
          </w:p>
        </w:tc>
        <w:tc>
          <w:tcPr>
            <w:tcW w:w="885" w:type="dxa"/>
            <w:shd w:val="clear" w:color="auto" w:fill="auto"/>
            <w:vAlign w:val="top"/>
          </w:tcPr>
          <w:p w14:paraId="773635D8">
            <w:pPr>
              <w:keepNext w:val="0"/>
              <w:keepLines w:val="0"/>
              <w:pageBreakBefore w:val="0"/>
              <w:widowControl w:val="0"/>
              <w:kinsoku/>
              <w:wordWrap/>
              <w:overflowPunct/>
              <w:topLinePunct w:val="0"/>
              <w:autoSpaceDE/>
              <w:autoSpaceDN/>
              <w:bidi w:val="0"/>
              <w:adjustRightInd/>
              <w:snapToGrid/>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70%</w:t>
            </w:r>
          </w:p>
        </w:tc>
      </w:tr>
      <w:tr w14:paraId="5EEBC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5DB3A74">
            <w:pPr>
              <w:keepNext w:val="0"/>
              <w:keepLines w:val="0"/>
              <w:pageBreakBefore w:val="0"/>
              <w:widowControl w:val="0"/>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7</w:t>
            </w:r>
          </w:p>
        </w:tc>
        <w:tc>
          <w:tcPr>
            <w:tcW w:w="1894" w:type="dxa"/>
            <w:shd w:val="clear" w:color="auto" w:fill="auto"/>
            <w:vAlign w:val="top"/>
          </w:tcPr>
          <w:p w14:paraId="0724C028">
            <w:pPr>
              <w:keepNext w:val="0"/>
              <w:keepLines w:val="0"/>
              <w:pageBreakBefore w:val="0"/>
              <w:widowControl w:val="0"/>
              <w:kinsoku/>
              <w:wordWrap/>
              <w:overflowPunct/>
              <w:topLinePunct w:val="0"/>
              <w:autoSpaceDE/>
              <w:autoSpaceDN/>
              <w:bidi w:val="0"/>
              <w:adjustRightInd/>
              <w:snapToGrid/>
              <w:textAlignment w:val="auto"/>
              <w:rPr>
                <w:rFonts w:hint="default" w:asciiTheme="minorHAnsi" w:hAnsiTheme="minorHAnsi" w:eastAsiaTheme="minorEastAsia" w:cstheme="minorBidi"/>
                <w:kern w:val="2"/>
                <w:sz w:val="21"/>
                <w:szCs w:val="24"/>
                <w:vertAlign w:val="baseline"/>
                <w:lang w:val="en-US" w:eastAsia="zh-CN" w:bidi="ar-SA"/>
              </w:rPr>
            </w:pPr>
            <w:r>
              <w:rPr>
                <w:rFonts w:hint="default" w:cstheme="minorBidi"/>
                <w:kern w:val="2"/>
                <w:sz w:val="21"/>
                <w:szCs w:val="24"/>
                <w:vertAlign w:val="baseline"/>
                <w:lang w:val="en-US" w:eastAsia="zh-CN" w:bidi="ar-SA"/>
              </w:rPr>
              <w:t>所有平台数据采集满足测试条件后</w:t>
            </w:r>
            <w:r>
              <w:rPr>
                <w:rFonts w:hint="eastAsia" w:cstheme="minorBidi"/>
                <w:kern w:val="2"/>
                <w:sz w:val="21"/>
                <w:szCs w:val="24"/>
                <w:vertAlign w:val="baseline"/>
                <w:lang w:val="en-US" w:eastAsia="zh-CN" w:bidi="ar-SA"/>
              </w:rPr>
              <w:t>1个月</w:t>
            </w:r>
          </w:p>
        </w:tc>
        <w:tc>
          <w:tcPr>
            <w:tcW w:w="4907" w:type="dxa"/>
            <w:shd w:val="clear" w:color="auto" w:fill="auto"/>
            <w:vAlign w:val="top"/>
          </w:tcPr>
          <w:p w14:paraId="7B5752AA">
            <w:pPr>
              <w:keepNext w:val="0"/>
              <w:keepLines w:val="0"/>
              <w:pageBreakBefore w:val="0"/>
              <w:widowControl w:val="0"/>
              <w:kinsoku/>
              <w:wordWrap/>
              <w:overflowPunct/>
              <w:topLinePunct w:val="0"/>
              <w:autoSpaceDE/>
              <w:autoSpaceDN/>
              <w:bidi w:val="0"/>
              <w:adjustRightInd/>
              <w:snapToGrid/>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系统测试版发布，进入系统测试</w:t>
            </w:r>
          </w:p>
        </w:tc>
        <w:tc>
          <w:tcPr>
            <w:tcW w:w="885" w:type="dxa"/>
            <w:shd w:val="clear" w:color="auto" w:fill="auto"/>
            <w:vAlign w:val="top"/>
          </w:tcPr>
          <w:p w14:paraId="02F368AA">
            <w:pPr>
              <w:keepNext w:val="0"/>
              <w:keepLines w:val="0"/>
              <w:pageBreakBefore w:val="0"/>
              <w:widowControl w:val="0"/>
              <w:kinsoku/>
              <w:wordWrap/>
              <w:overflowPunct/>
              <w:topLinePunct w:val="0"/>
              <w:autoSpaceDE/>
              <w:autoSpaceDN/>
              <w:bidi w:val="0"/>
              <w:adjustRightInd/>
              <w:snapToGrid/>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90%</w:t>
            </w:r>
          </w:p>
        </w:tc>
      </w:tr>
      <w:tr w14:paraId="75A89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6D54119">
            <w:pPr>
              <w:keepNext w:val="0"/>
              <w:keepLines w:val="0"/>
              <w:pageBreakBefore w:val="0"/>
              <w:widowControl w:val="0"/>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8</w:t>
            </w:r>
          </w:p>
        </w:tc>
        <w:tc>
          <w:tcPr>
            <w:tcW w:w="1894" w:type="dxa"/>
            <w:shd w:val="clear" w:color="auto" w:fill="auto"/>
            <w:vAlign w:val="top"/>
          </w:tcPr>
          <w:p w14:paraId="4DE03932">
            <w:pPr>
              <w:keepNext w:val="0"/>
              <w:keepLines w:val="0"/>
              <w:pageBreakBefore w:val="0"/>
              <w:widowControl w:val="0"/>
              <w:kinsoku/>
              <w:wordWrap/>
              <w:overflowPunct/>
              <w:topLinePunct w:val="0"/>
              <w:autoSpaceDE/>
              <w:autoSpaceDN/>
              <w:bidi w:val="0"/>
              <w:adjustRightInd/>
              <w:snapToGrid/>
              <w:textAlignment w:val="auto"/>
              <w:rPr>
                <w:rFonts w:hint="default" w:asciiTheme="minorHAnsi" w:hAnsiTheme="minorHAnsi" w:eastAsiaTheme="minorEastAsia" w:cstheme="minorBidi"/>
                <w:kern w:val="2"/>
                <w:sz w:val="21"/>
                <w:szCs w:val="24"/>
                <w:vertAlign w:val="baseline"/>
                <w:lang w:val="en-US" w:eastAsia="zh-CN" w:bidi="ar-SA"/>
              </w:rPr>
            </w:pPr>
            <w:r>
              <w:rPr>
                <w:rFonts w:hint="default" w:cstheme="minorBidi"/>
                <w:kern w:val="2"/>
                <w:sz w:val="21"/>
                <w:szCs w:val="24"/>
                <w:vertAlign w:val="baseline"/>
                <w:lang w:val="en-US" w:eastAsia="zh-CN" w:bidi="ar-SA"/>
              </w:rPr>
              <w:t>所有平台数据采集满足测试条件后</w:t>
            </w:r>
            <w:r>
              <w:rPr>
                <w:rFonts w:hint="eastAsia" w:cstheme="minorBidi"/>
                <w:kern w:val="2"/>
                <w:sz w:val="21"/>
                <w:szCs w:val="24"/>
                <w:vertAlign w:val="baseline"/>
                <w:lang w:val="en-US" w:eastAsia="zh-CN" w:bidi="ar-SA"/>
              </w:rPr>
              <w:t>2个月</w:t>
            </w:r>
          </w:p>
        </w:tc>
        <w:tc>
          <w:tcPr>
            <w:tcW w:w="4907" w:type="dxa"/>
            <w:shd w:val="clear" w:color="auto" w:fill="auto"/>
            <w:vAlign w:val="top"/>
          </w:tcPr>
          <w:p w14:paraId="44A6AD2B">
            <w:pPr>
              <w:keepNext w:val="0"/>
              <w:keepLines w:val="0"/>
              <w:pageBreakBefore w:val="0"/>
              <w:widowControl w:val="0"/>
              <w:kinsoku/>
              <w:wordWrap/>
              <w:overflowPunct/>
              <w:topLinePunct w:val="0"/>
              <w:autoSpaceDE/>
              <w:autoSpaceDN/>
              <w:bidi w:val="0"/>
              <w:adjustRightInd/>
              <w:snapToGrid/>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完成系统测试，开始试运行</w:t>
            </w:r>
          </w:p>
        </w:tc>
        <w:tc>
          <w:tcPr>
            <w:tcW w:w="885" w:type="dxa"/>
            <w:shd w:val="clear" w:color="auto" w:fill="auto"/>
            <w:vAlign w:val="top"/>
          </w:tcPr>
          <w:p w14:paraId="2A2A92F4">
            <w:pPr>
              <w:keepNext w:val="0"/>
              <w:keepLines w:val="0"/>
              <w:pageBreakBefore w:val="0"/>
              <w:widowControl w:val="0"/>
              <w:kinsoku/>
              <w:wordWrap/>
              <w:overflowPunct/>
              <w:topLinePunct w:val="0"/>
              <w:autoSpaceDE/>
              <w:autoSpaceDN/>
              <w:bidi w:val="0"/>
              <w:adjustRightInd/>
              <w:snapToGrid/>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95%</w:t>
            </w:r>
          </w:p>
        </w:tc>
      </w:tr>
      <w:tr w14:paraId="55AD0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54E6AA5">
            <w:pPr>
              <w:keepNext w:val="0"/>
              <w:keepLines w:val="0"/>
              <w:pageBreakBefore w:val="0"/>
              <w:widowControl w:val="0"/>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9</w:t>
            </w:r>
          </w:p>
        </w:tc>
        <w:tc>
          <w:tcPr>
            <w:tcW w:w="1894" w:type="dxa"/>
            <w:shd w:val="clear" w:color="auto" w:fill="auto"/>
            <w:vAlign w:val="top"/>
          </w:tcPr>
          <w:p w14:paraId="66872E39">
            <w:pPr>
              <w:keepNext w:val="0"/>
              <w:keepLines w:val="0"/>
              <w:pageBreakBefore w:val="0"/>
              <w:widowControl w:val="0"/>
              <w:kinsoku/>
              <w:wordWrap/>
              <w:overflowPunct/>
              <w:topLinePunct w:val="0"/>
              <w:autoSpaceDE/>
              <w:autoSpaceDN/>
              <w:bidi w:val="0"/>
              <w:adjustRightInd/>
              <w:snapToGrid/>
              <w:textAlignment w:val="auto"/>
              <w:rPr>
                <w:rFonts w:hint="default" w:asciiTheme="minorHAnsi" w:hAnsiTheme="minorHAnsi" w:eastAsiaTheme="minorEastAsia" w:cstheme="minorBidi"/>
                <w:kern w:val="2"/>
                <w:sz w:val="21"/>
                <w:szCs w:val="24"/>
                <w:vertAlign w:val="baseline"/>
                <w:lang w:val="en-US" w:eastAsia="zh-CN" w:bidi="ar-SA"/>
              </w:rPr>
            </w:pPr>
            <w:r>
              <w:rPr>
                <w:rFonts w:hint="default" w:cstheme="minorBidi"/>
                <w:kern w:val="2"/>
                <w:sz w:val="21"/>
                <w:szCs w:val="24"/>
                <w:vertAlign w:val="baseline"/>
                <w:lang w:val="en-US" w:eastAsia="zh-CN" w:bidi="ar-SA"/>
              </w:rPr>
              <w:t>所有平台数据采集满足测试条件后</w:t>
            </w:r>
            <w:r>
              <w:rPr>
                <w:rFonts w:hint="eastAsia" w:cstheme="minorBidi"/>
                <w:kern w:val="2"/>
                <w:sz w:val="21"/>
                <w:szCs w:val="24"/>
                <w:vertAlign w:val="baseline"/>
                <w:lang w:val="en-US" w:eastAsia="zh-CN" w:bidi="ar-SA"/>
              </w:rPr>
              <w:t>3个月</w:t>
            </w:r>
          </w:p>
        </w:tc>
        <w:tc>
          <w:tcPr>
            <w:tcW w:w="4907" w:type="dxa"/>
            <w:shd w:val="clear" w:color="auto" w:fill="auto"/>
            <w:vAlign w:val="top"/>
          </w:tcPr>
          <w:p w14:paraId="354C56B8">
            <w:pPr>
              <w:keepNext w:val="0"/>
              <w:keepLines w:val="0"/>
              <w:pageBreakBefore w:val="0"/>
              <w:widowControl w:val="0"/>
              <w:kinsoku/>
              <w:wordWrap/>
              <w:overflowPunct/>
              <w:topLinePunct w:val="0"/>
              <w:autoSpaceDE/>
              <w:autoSpaceDN/>
              <w:bidi w:val="0"/>
              <w:adjustRightInd/>
              <w:snapToGrid/>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用户培训，完成验收，文档交接</w:t>
            </w:r>
          </w:p>
        </w:tc>
        <w:tc>
          <w:tcPr>
            <w:tcW w:w="885" w:type="dxa"/>
            <w:shd w:val="clear" w:color="auto" w:fill="auto"/>
            <w:vAlign w:val="top"/>
          </w:tcPr>
          <w:p w14:paraId="1D6BEE0D">
            <w:pPr>
              <w:keepNext w:val="0"/>
              <w:keepLines w:val="0"/>
              <w:pageBreakBefore w:val="0"/>
              <w:widowControl w:val="0"/>
              <w:kinsoku/>
              <w:wordWrap/>
              <w:overflowPunct/>
              <w:topLinePunct w:val="0"/>
              <w:autoSpaceDE/>
              <w:autoSpaceDN/>
              <w:bidi w:val="0"/>
              <w:adjustRightInd/>
              <w:snapToGrid/>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100%</w:t>
            </w:r>
          </w:p>
        </w:tc>
      </w:tr>
    </w:tbl>
    <w:p w14:paraId="7266DA6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w:t>
      </w:r>
    </w:p>
    <w:p w14:paraId="18112A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十四、知识产权</w:t>
      </w:r>
    </w:p>
    <w:p w14:paraId="1DEAB2D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开发过程中，所有外包人员在此期间及利用招标方提供的资料所产生的软件成果和知识产权，均归招标方所有。这包括但不限于源代码、测试报告、用户手册、在线帮助文档以及技术培训资料等。投标方需确保这些交付物符合行业标准，易于理解和维护，并能满足招标方的功能和性能要求。同时，投标方还需提供详细的系统维护和升级策略，以确保软件系统的长期稳定运行。这些措施旨在保护招标方的权益，确保软件系统的完整性和可靠性。相关技术成果和资料及交付时间如下所示。</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3"/>
        <w:gridCol w:w="6302"/>
        <w:gridCol w:w="1577"/>
      </w:tblGrid>
      <w:tr w14:paraId="2CE58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54209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vertAlign w:val="baseline"/>
                <w:lang w:val="en-US" w:eastAsia="zh-CN"/>
              </w:rPr>
            </w:pPr>
            <w:r>
              <w:rPr>
                <w:rFonts w:hint="eastAsia" w:asciiTheme="minorEastAsia" w:hAnsiTheme="minorEastAsia" w:eastAsiaTheme="minorEastAsia" w:cstheme="minorEastAsia"/>
                <w:sz w:val="24"/>
                <w:vertAlign w:val="baseline"/>
                <w:lang w:val="en-US" w:eastAsia="zh-CN"/>
              </w:rPr>
              <w:t>序号</w:t>
            </w:r>
          </w:p>
        </w:tc>
        <w:tc>
          <w:tcPr>
            <w:tcW w:w="0" w:type="auto"/>
          </w:tcPr>
          <w:p w14:paraId="40395A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vertAlign w:val="baseline"/>
                <w:lang w:val="en-US" w:eastAsia="zh-CN"/>
              </w:rPr>
            </w:pPr>
            <w:r>
              <w:rPr>
                <w:rFonts w:hint="eastAsia" w:asciiTheme="minorEastAsia" w:hAnsiTheme="minorEastAsia" w:eastAsiaTheme="minorEastAsia" w:cstheme="minorEastAsia"/>
                <w:sz w:val="24"/>
                <w:vertAlign w:val="baseline"/>
                <w:lang w:val="en-US" w:eastAsia="zh-CN"/>
              </w:rPr>
              <w:t>资料内容</w:t>
            </w:r>
          </w:p>
        </w:tc>
        <w:tc>
          <w:tcPr>
            <w:tcW w:w="0" w:type="auto"/>
          </w:tcPr>
          <w:p w14:paraId="276A03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vertAlign w:val="baseline"/>
                <w:lang w:val="en-US" w:eastAsia="zh-CN"/>
              </w:rPr>
            </w:pPr>
            <w:r>
              <w:rPr>
                <w:rFonts w:hint="eastAsia" w:asciiTheme="minorEastAsia" w:hAnsiTheme="minorEastAsia" w:eastAsiaTheme="minorEastAsia" w:cstheme="minorEastAsia"/>
                <w:sz w:val="24"/>
                <w:vertAlign w:val="baseline"/>
                <w:lang w:val="en-US" w:eastAsia="zh-CN"/>
              </w:rPr>
              <w:t>交付时间</w:t>
            </w:r>
          </w:p>
        </w:tc>
      </w:tr>
      <w:tr w14:paraId="13F05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6BF60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vertAlign w:val="baseline"/>
                <w:lang w:val="en-US" w:eastAsia="zh-CN"/>
              </w:rPr>
            </w:pPr>
            <w:r>
              <w:rPr>
                <w:rFonts w:hint="eastAsia" w:asciiTheme="minorEastAsia" w:hAnsiTheme="minorEastAsia" w:eastAsiaTheme="minorEastAsia" w:cstheme="minorEastAsia"/>
                <w:sz w:val="24"/>
                <w:vertAlign w:val="baseline"/>
                <w:lang w:val="en-US" w:eastAsia="zh-CN"/>
              </w:rPr>
              <w:t>1</w:t>
            </w:r>
          </w:p>
        </w:tc>
        <w:tc>
          <w:tcPr>
            <w:tcW w:w="0" w:type="auto"/>
            <w:shd w:val="clear" w:color="auto" w:fill="auto"/>
            <w:vAlign w:val="top"/>
          </w:tcPr>
          <w:p w14:paraId="58F3323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kern w:val="2"/>
                <w:sz w:val="24"/>
                <w:szCs w:val="24"/>
                <w:vertAlign w:val="baseline"/>
                <w:lang w:val="en-US" w:eastAsia="zh-CN" w:bidi="ar-SA"/>
              </w:rPr>
            </w:pPr>
            <w:r>
              <w:rPr>
                <w:rFonts w:hint="eastAsia" w:asciiTheme="minorEastAsia" w:hAnsiTheme="minorEastAsia" w:eastAsiaTheme="minorEastAsia" w:cstheme="minorEastAsia"/>
                <w:sz w:val="24"/>
                <w:vertAlign w:val="baseline"/>
                <w:lang w:val="en-US" w:eastAsia="zh-CN"/>
              </w:rPr>
              <w:t>接口规格说明书、概要设计说明书、详细设计说明书、数据库设计说明书</w:t>
            </w:r>
          </w:p>
        </w:tc>
        <w:tc>
          <w:tcPr>
            <w:tcW w:w="0" w:type="auto"/>
            <w:shd w:val="clear" w:color="auto" w:fill="auto"/>
            <w:vAlign w:val="top"/>
          </w:tcPr>
          <w:p w14:paraId="05F113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kern w:val="2"/>
                <w:sz w:val="24"/>
                <w:szCs w:val="24"/>
                <w:vertAlign w:val="baseline"/>
                <w:lang w:val="en-US" w:eastAsia="zh-CN" w:bidi="ar-SA"/>
              </w:rPr>
            </w:pPr>
            <w:r>
              <w:rPr>
                <w:rFonts w:hint="eastAsia" w:asciiTheme="minorEastAsia" w:hAnsiTheme="minorEastAsia" w:eastAsiaTheme="minorEastAsia" w:cstheme="minorEastAsia"/>
                <w:sz w:val="24"/>
                <w:vertAlign w:val="baseline"/>
                <w:lang w:val="en-US" w:eastAsia="zh-CN"/>
              </w:rPr>
              <w:t>中标后28日</w:t>
            </w:r>
          </w:p>
        </w:tc>
      </w:tr>
      <w:tr w14:paraId="34CEA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086B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vertAlign w:val="baseline"/>
                <w:lang w:val="en-US" w:eastAsia="zh-CN"/>
              </w:rPr>
            </w:pPr>
            <w:r>
              <w:rPr>
                <w:rFonts w:hint="eastAsia" w:asciiTheme="minorEastAsia" w:hAnsiTheme="minorEastAsia" w:eastAsiaTheme="minorEastAsia" w:cstheme="minorEastAsia"/>
                <w:sz w:val="24"/>
                <w:vertAlign w:val="baseline"/>
                <w:lang w:val="en-US" w:eastAsia="zh-CN"/>
              </w:rPr>
              <w:t>2</w:t>
            </w:r>
          </w:p>
        </w:tc>
        <w:tc>
          <w:tcPr>
            <w:tcW w:w="0" w:type="auto"/>
          </w:tcPr>
          <w:p w14:paraId="3A9B07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vertAlign w:val="baseline"/>
                <w:lang w:val="en-US" w:eastAsia="zh-CN"/>
              </w:rPr>
            </w:pPr>
            <w:r>
              <w:rPr>
                <w:rFonts w:hint="eastAsia" w:asciiTheme="minorEastAsia" w:hAnsiTheme="minorEastAsia" w:eastAsiaTheme="minorEastAsia" w:cstheme="minorEastAsia"/>
                <w:sz w:val="24"/>
                <w:vertAlign w:val="baseline"/>
                <w:lang w:val="en-US" w:eastAsia="zh-CN"/>
              </w:rPr>
              <w:t>数据预处理、特征值提取及模型训练结果文件</w:t>
            </w:r>
          </w:p>
        </w:tc>
        <w:tc>
          <w:tcPr>
            <w:tcW w:w="0" w:type="auto"/>
          </w:tcPr>
          <w:p w14:paraId="55AC8F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vertAlign w:val="baseline"/>
                <w:lang w:val="en-US" w:eastAsia="zh-CN"/>
              </w:rPr>
            </w:pPr>
            <w:r>
              <w:rPr>
                <w:rFonts w:hint="eastAsia" w:asciiTheme="minorEastAsia" w:hAnsiTheme="minorEastAsia" w:eastAsiaTheme="minorEastAsia" w:cstheme="minorEastAsia"/>
                <w:sz w:val="24"/>
                <w:vertAlign w:val="baseline"/>
                <w:lang w:val="en-US" w:eastAsia="zh-CN"/>
              </w:rPr>
              <w:t>中标后42日</w:t>
            </w:r>
          </w:p>
        </w:tc>
      </w:tr>
      <w:tr w14:paraId="2C087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4E081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vertAlign w:val="baseline"/>
                <w:lang w:val="en-US" w:eastAsia="zh-CN"/>
              </w:rPr>
            </w:pPr>
            <w:r>
              <w:rPr>
                <w:rFonts w:hint="eastAsia" w:asciiTheme="minorEastAsia" w:hAnsiTheme="minorEastAsia" w:eastAsiaTheme="minorEastAsia" w:cstheme="minorEastAsia"/>
                <w:sz w:val="24"/>
                <w:vertAlign w:val="baseline"/>
                <w:lang w:val="en-US" w:eastAsia="zh-CN"/>
              </w:rPr>
              <w:t>3</w:t>
            </w:r>
          </w:p>
        </w:tc>
        <w:tc>
          <w:tcPr>
            <w:tcW w:w="0" w:type="auto"/>
          </w:tcPr>
          <w:p w14:paraId="28B330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vertAlign w:val="baseline"/>
                <w:lang w:val="en-US" w:eastAsia="zh-CN"/>
              </w:rPr>
            </w:pPr>
            <w:r>
              <w:rPr>
                <w:rFonts w:hint="eastAsia" w:asciiTheme="minorEastAsia" w:hAnsiTheme="minorEastAsia" w:eastAsiaTheme="minorEastAsia" w:cstheme="minorEastAsia"/>
                <w:sz w:val="24"/>
                <w:vertAlign w:val="baseline"/>
                <w:lang w:val="en-US" w:eastAsia="zh-CN"/>
              </w:rPr>
              <w:t>软件的源代码、可执行文件及相关文件</w:t>
            </w:r>
          </w:p>
        </w:tc>
        <w:tc>
          <w:tcPr>
            <w:tcW w:w="0" w:type="auto"/>
          </w:tcPr>
          <w:p w14:paraId="0687D1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vertAlign w:val="baseline"/>
                <w:lang w:val="en-US" w:eastAsia="zh-CN"/>
              </w:rPr>
            </w:pPr>
            <w:r>
              <w:rPr>
                <w:rFonts w:hint="eastAsia" w:asciiTheme="minorEastAsia" w:hAnsiTheme="minorEastAsia" w:eastAsiaTheme="minorEastAsia" w:cstheme="minorEastAsia"/>
                <w:sz w:val="24"/>
                <w:vertAlign w:val="baseline"/>
                <w:lang w:val="en-US" w:eastAsia="zh-CN"/>
              </w:rPr>
              <w:t>基本开发完成时</w:t>
            </w:r>
          </w:p>
        </w:tc>
      </w:tr>
      <w:tr w14:paraId="238A0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2C4A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vertAlign w:val="baseline"/>
                <w:lang w:val="en-US" w:eastAsia="zh-CN"/>
              </w:rPr>
            </w:pPr>
            <w:r>
              <w:rPr>
                <w:rFonts w:hint="eastAsia" w:asciiTheme="minorEastAsia" w:hAnsiTheme="minorEastAsia" w:eastAsiaTheme="minorEastAsia" w:cstheme="minorEastAsia"/>
                <w:sz w:val="24"/>
                <w:vertAlign w:val="baseline"/>
                <w:lang w:val="en-US" w:eastAsia="zh-CN"/>
              </w:rPr>
              <w:t>4</w:t>
            </w:r>
          </w:p>
        </w:tc>
        <w:tc>
          <w:tcPr>
            <w:tcW w:w="0" w:type="auto"/>
          </w:tcPr>
          <w:p w14:paraId="7F6BEE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vertAlign w:val="baseline"/>
                <w:lang w:val="en-US" w:eastAsia="zh-CN"/>
              </w:rPr>
            </w:pPr>
            <w:r>
              <w:rPr>
                <w:rFonts w:hint="eastAsia" w:asciiTheme="minorEastAsia" w:hAnsiTheme="minorEastAsia" w:eastAsiaTheme="minorEastAsia" w:cstheme="minorEastAsia"/>
                <w:sz w:val="24"/>
                <w:vertAlign w:val="baseline"/>
                <w:lang w:val="en-US" w:eastAsia="zh-CN"/>
              </w:rPr>
              <w:t>相关测试用例设计说明书、测试报告</w:t>
            </w:r>
          </w:p>
        </w:tc>
        <w:tc>
          <w:tcPr>
            <w:tcW w:w="0" w:type="auto"/>
          </w:tcPr>
          <w:p w14:paraId="4F80BC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vertAlign w:val="baseline"/>
                <w:lang w:val="en-US" w:eastAsia="zh-CN"/>
              </w:rPr>
            </w:pPr>
            <w:r>
              <w:rPr>
                <w:rFonts w:hint="eastAsia" w:asciiTheme="minorEastAsia" w:hAnsiTheme="minorEastAsia" w:eastAsiaTheme="minorEastAsia" w:cstheme="minorEastAsia"/>
                <w:sz w:val="24"/>
                <w:vertAlign w:val="baseline"/>
                <w:lang w:val="en-US" w:eastAsia="zh-CN"/>
              </w:rPr>
              <w:t>测试完成时</w:t>
            </w:r>
          </w:p>
        </w:tc>
      </w:tr>
      <w:tr w14:paraId="73683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D7BBF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vertAlign w:val="baseline"/>
                <w:lang w:val="en-US" w:eastAsia="zh-CN"/>
              </w:rPr>
            </w:pPr>
            <w:r>
              <w:rPr>
                <w:rFonts w:hint="eastAsia" w:asciiTheme="minorEastAsia" w:hAnsiTheme="minorEastAsia" w:eastAsiaTheme="minorEastAsia" w:cstheme="minorEastAsia"/>
                <w:sz w:val="24"/>
                <w:vertAlign w:val="baseline"/>
                <w:lang w:val="en-US" w:eastAsia="zh-CN"/>
              </w:rPr>
              <w:t>5</w:t>
            </w:r>
          </w:p>
        </w:tc>
        <w:tc>
          <w:tcPr>
            <w:tcW w:w="0" w:type="auto"/>
          </w:tcPr>
          <w:p w14:paraId="65A256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vertAlign w:val="baseline"/>
                <w:lang w:val="en-US" w:eastAsia="zh-CN"/>
              </w:rPr>
            </w:pPr>
            <w:r>
              <w:rPr>
                <w:rFonts w:hint="eastAsia" w:asciiTheme="minorEastAsia" w:hAnsiTheme="minorEastAsia" w:eastAsiaTheme="minorEastAsia" w:cstheme="minorEastAsia"/>
                <w:sz w:val="24"/>
                <w:vertAlign w:val="baseline"/>
                <w:lang w:val="en-US" w:eastAsia="zh-CN"/>
              </w:rPr>
              <w:t>软件安装指南、操作手册</w:t>
            </w:r>
          </w:p>
        </w:tc>
        <w:tc>
          <w:tcPr>
            <w:tcW w:w="0" w:type="auto"/>
            <w:shd w:val="clear" w:color="auto" w:fill="auto"/>
            <w:vAlign w:val="top"/>
          </w:tcPr>
          <w:p w14:paraId="46F626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kern w:val="2"/>
                <w:sz w:val="24"/>
                <w:szCs w:val="24"/>
                <w:vertAlign w:val="baseline"/>
                <w:lang w:val="en-US" w:eastAsia="zh-CN" w:bidi="ar-SA"/>
              </w:rPr>
            </w:pPr>
            <w:r>
              <w:rPr>
                <w:rFonts w:hint="eastAsia" w:asciiTheme="minorEastAsia" w:hAnsiTheme="minorEastAsia" w:eastAsiaTheme="minorEastAsia" w:cstheme="minorEastAsia"/>
                <w:sz w:val="24"/>
                <w:vertAlign w:val="baseline"/>
                <w:lang w:val="en-US" w:eastAsia="zh-CN"/>
              </w:rPr>
              <w:t>开发工作完成时</w:t>
            </w:r>
          </w:p>
        </w:tc>
      </w:tr>
      <w:tr w14:paraId="358AD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14DBA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vertAlign w:val="baseline"/>
                <w:lang w:val="en-US" w:eastAsia="zh-CN"/>
              </w:rPr>
            </w:pPr>
            <w:r>
              <w:rPr>
                <w:rFonts w:hint="eastAsia" w:asciiTheme="minorEastAsia" w:hAnsiTheme="minorEastAsia" w:eastAsiaTheme="minorEastAsia" w:cstheme="minorEastAsia"/>
                <w:sz w:val="24"/>
                <w:vertAlign w:val="baseline"/>
                <w:lang w:val="en-US" w:eastAsia="zh-CN"/>
              </w:rPr>
              <w:t>6</w:t>
            </w:r>
          </w:p>
        </w:tc>
        <w:tc>
          <w:tcPr>
            <w:tcW w:w="0" w:type="auto"/>
          </w:tcPr>
          <w:p w14:paraId="26F8DC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vertAlign w:val="baseline"/>
                <w:lang w:val="en-US" w:eastAsia="zh-CN"/>
              </w:rPr>
            </w:pPr>
            <w:r>
              <w:rPr>
                <w:rFonts w:hint="eastAsia" w:asciiTheme="minorEastAsia" w:hAnsiTheme="minorEastAsia" w:eastAsiaTheme="minorEastAsia" w:cstheme="minorEastAsia"/>
                <w:sz w:val="24"/>
                <w:vertAlign w:val="baseline"/>
                <w:lang w:val="en-US" w:eastAsia="zh-CN"/>
              </w:rPr>
              <w:t>用户培训材料或在线帮助文档、系统维护和升级指南</w:t>
            </w:r>
          </w:p>
        </w:tc>
        <w:tc>
          <w:tcPr>
            <w:tcW w:w="0" w:type="auto"/>
          </w:tcPr>
          <w:p w14:paraId="25E6E2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vertAlign w:val="baseline"/>
                <w:lang w:val="en-US" w:eastAsia="zh-CN"/>
              </w:rPr>
            </w:pPr>
            <w:r>
              <w:rPr>
                <w:rFonts w:hint="eastAsia" w:asciiTheme="minorEastAsia" w:hAnsiTheme="minorEastAsia" w:eastAsiaTheme="minorEastAsia" w:cstheme="minorEastAsia"/>
                <w:sz w:val="24"/>
                <w:vertAlign w:val="baseline"/>
                <w:lang w:val="en-US" w:eastAsia="zh-CN"/>
              </w:rPr>
              <w:t>开发工作完成时</w:t>
            </w:r>
          </w:p>
        </w:tc>
      </w:tr>
      <w:tr w14:paraId="41074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B9A1D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vertAlign w:val="baseline"/>
                <w:lang w:val="en-US" w:eastAsia="zh-CN"/>
              </w:rPr>
            </w:pPr>
            <w:r>
              <w:rPr>
                <w:rFonts w:hint="eastAsia" w:asciiTheme="minorEastAsia" w:hAnsiTheme="minorEastAsia" w:eastAsiaTheme="minorEastAsia" w:cstheme="minorEastAsia"/>
                <w:sz w:val="24"/>
                <w:vertAlign w:val="baseline"/>
                <w:lang w:val="en-US" w:eastAsia="zh-CN"/>
              </w:rPr>
              <w:t>7</w:t>
            </w:r>
          </w:p>
        </w:tc>
        <w:tc>
          <w:tcPr>
            <w:tcW w:w="0" w:type="auto"/>
          </w:tcPr>
          <w:p w14:paraId="5EFF0A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vertAlign w:val="baseline"/>
                <w:lang w:val="en-US" w:eastAsia="zh-CN"/>
              </w:rPr>
            </w:pPr>
            <w:r>
              <w:rPr>
                <w:rFonts w:hint="eastAsia" w:asciiTheme="minorEastAsia" w:hAnsiTheme="minorEastAsia" w:eastAsiaTheme="minorEastAsia" w:cstheme="minorEastAsia"/>
                <w:sz w:val="24"/>
                <w:vertAlign w:val="baseline"/>
                <w:lang w:val="en-US" w:eastAsia="zh-CN"/>
              </w:rPr>
              <w:t>源码级代码注释</w:t>
            </w:r>
          </w:p>
        </w:tc>
        <w:tc>
          <w:tcPr>
            <w:tcW w:w="0" w:type="auto"/>
          </w:tcPr>
          <w:p w14:paraId="619C7B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vertAlign w:val="baseline"/>
                <w:lang w:val="en-US" w:eastAsia="zh-CN"/>
              </w:rPr>
            </w:pPr>
            <w:r>
              <w:rPr>
                <w:rFonts w:hint="eastAsia" w:asciiTheme="minorEastAsia" w:hAnsiTheme="minorEastAsia" w:eastAsiaTheme="minorEastAsia" w:cstheme="minorEastAsia"/>
                <w:sz w:val="24"/>
                <w:vertAlign w:val="baseline"/>
                <w:lang w:val="en-US" w:eastAsia="zh-CN"/>
              </w:rPr>
              <w:t>交付时</w:t>
            </w:r>
          </w:p>
        </w:tc>
      </w:tr>
    </w:tbl>
    <w:p w14:paraId="23EAB11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lang w:val="en-US" w:eastAsia="zh-CN"/>
        </w:rPr>
      </w:pPr>
    </w:p>
    <w:p w14:paraId="192BCEA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w:altName w:val="微软雅黑"/>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KSOF44923551">
    <w:panose1 w:val="020B0503020204020204"/>
    <w:charset w:val="86"/>
    <w:family w:val="auto"/>
    <w:pitch w:val="default"/>
    <w:sig w:usb0="00000001" w:usb1="00000000" w:usb2="00000000" w:usb3="00000000" w:csb0="00040001" w:csb1="00000000"/>
  </w:font>
  <w:font w:name="汉仪正圆 55简">
    <w:panose1 w:val="00020600040101010101"/>
    <w:charset w:val="86"/>
    <w:family w:val="roman"/>
    <w:pitch w:val="default"/>
    <w:sig w:usb0="A00002BF" w:usb1="0ACF7CFA" w:usb2="00000016" w:usb3="00000000" w:csb0="0004009F" w:csb1="00000000"/>
  </w:font>
  <w:font w:name="汉仪字酷堂长林体W">
    <w:panose1 w:val="00020600040101010101"/>
    <w:charset w:val="86"/>
    <w:family w:val="roman"/>
    <w:pitch w:val="default"/>
    <w:sig w:usb0="8000003F" w:usb1="1AC104FA" w:usb2="00000016" w:usb3="00000000" w:csb0="0004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71AF84"/>
    <w:multiLevelType w:val="singleLevel"/>
    <w:tmpl w:val="8271AF84"/>
    <w:lvl w:ilvl="0" w:tentative="0">
      <w:start w:val="3"/>
      <w:numFmt w:val="chineseCounting"/>
      <w:suff w:val="nothing"/>
      <w:lvlText w:val="%1、"/>
      <w:lvlJc w:val="left"/>
      <w:rPr>
        <w:rFonts w:hint="eastAsia"/>
      </w:rPr>
    </w:lvl>
  </w:abstractNum>
  <w:abstractNum w:abstractNumId="1">
    <w:nsid w:val="9347DF0F"/>
    <w:multiLevelType w:val="multilevel"/>
    <w:tmpl w:val="9347DF0F"/>
    <w:lvl w:ilvl="0" w:tentative="0">
      <w:start w:val="1"/>
      <w:numFmt w:val="chineseCounting"/>
      <w:pStyle w:val="2"/>
      <w:suff w:val="nothing"/>
      <w:lvlText w:val="第%1章 "/>
      <w:lvlJc w:val="left"/>
      <w:pPr>
        <w:ind w:left="432" w:hanging="432"/>
      </w:pPr>
      <w:rPr>
        <w:rFonts w:hint="eastAsia"/>
      </w:rPr>
    </w:lvl>
    <w:lvl w:ilvl="1" w:tentative="0">
      <w:start w:val="1"/>
      <w:numFmt w:val="decimal"/>
      <w:pStyle w:val="3"/>
      <w:isLgl/>
      <w:lvlText w:val="%1.%2."/>
      <w:lvlJc w:val="left"/>
      <w:pPr>
        <w:ind w:left="575" w:hanging="575"/>
      </w:pPr>
      <w:rPr>
        <w:rFonts w:hint="eastAsia" w:ascii="Calibri" w:hAnsi="Calibri"/>
      </w:rPr>
    </w:lvl>
    <w:lvl w:ilvl="2" w:tentative="0">
      <w:start w:val="1"/>
      <w:numFmt w:val="decimal"/>
      <w:pStyle w:val="4"/>
      <w:isLgl/>
      <w:lvlText w:val="%1.%2.%3."/>
      <w:lvlJc w:val="left"/>
      <w:pPr>
        <w:ind w:left="720" w:hanging="720"/>
      </w:pPr>
      <w:rPr>
        <w:rFonts w:hint="eastAsia"/>
      </w:rPr>
    </w:lvl>
    <w:lvl w:ilvl="3" w:tentative="0">
      <w:start w:val="1"/>
      <w:numFmt w:val="decimal"/>
      <w:pStyle w:val="5"/>
      <w:isLgl/>
      <w:lvlText w:val="%1.%2.%3.%4."/>
      <w:lvlJc w:val="left"/>
      <w:pPr>
        <w:ind w:left="1494" w:hanging="864"/>
      </w:pPr>
      <w:rPr>
        <w:rFonts w:hint="eastAsia"/>
      </w:rPr>
    </w:lvl>
    <w:lvl w:ilvl="4" w:tentative="0">
      <w:start w:val="1"/>
      <w:numFmt w:val="decimal"/>
      <w:isLgl/>
      <w:lvlText w:val="%1.%2.%3.%4.%5."/>
      <w:lvlJc w:val="left"/>
      <w:pPr>
        <w:ind w:left="1008" w:hanging="1008"/>
      </w:pPr>
      <w:rPr>
        <w:rFonts w:hint="eastAsia"/>
      </w:rPr>
    </w:lvl>
    <w:lvl w:ilvl="5" w:tentative="0">
      <w:start w:val="1"/>
      <w:numFmt w:val="decimal"/>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abstractNum w:abstractNumId="2">
    <w:nsid w:val="C470D428"/>
    <w:multiLevelType w:val="singleLevel"/>
    <w:tmpl w:val="C470D428"/>
    <w:lvl w:ilvl="0" w:tentative="0">
      <w:start w:val="1"/>
      <w:numFmt w:val="decimal"/>
      <w:suff w:val="nothing"/>
      <w:lvlText w:val="%1、"/>
      <w:lvlJc w:val="left"/>
    </w:lvl>
  </w:abstractNum>
  <w:abstractNum w:abstractNumId="3">
    <w:nsid w:val="DB351162"/>
    <w:multiLevelType w:val="singleLevel"/>
    <w:tmpl w:val="DB351162"/>
    <w:lvl w:ilvl="0" w:tentative="0">
      <w:start w:val="1"/>
      <w:numFmt w:val="decimal"/>
      <w:suff w:val="nothing"/>
      <w:lvlText w:val="（%1）"/>
      <w:lvlJc w:val="left"/>
    </w:lvl>
  </w:abstractNum>
  <w:abstractNum w:abstractNumId="4">
    <w:nsid w:val="E1EACEEF"/>
    <w:multiLevelType w:val="singleLevel"/>
    <w:tmpl w:val="E1EACEEF"/>
    <w:lvl w:ilvl="0" w:tentative="0">
      <w:start w:val="1"/>
      <w:numFmt w:val="bullet"/>
      <w:lvlText w:val=""/>
      <w:lvlJc w:val="left"/>
      <w:pPr>
        <w:ind w:left="420" w:leftChars="0" w:firstLine="147" w:firstLineChars="0"/>
      </w:pPr>
      <w:rPr>
        <w:rFonts w:hint="default" w:ascii="Wingdings" w:hAnsi="Wingdings" w:cs="Wingdings"/>
      </w:rPr>
    </w:lvl>
  </w:abstractNum>
  <w:abstractNum w:abstractNumId="5">
    <w:nsid w:val="E4117C00"/>
    <w:multiLevelType w:val="singleLevel"/>
    <w:tmpl w:val="E4117C00"/>
    <w:lvl w:ilvl="0" w:tentative="0">
      <w:start w:val="1"/>
      <w:numFmt w:val="decimal"/>
      <w:suff w:val="nothing"/>
      <w:lvlText w:val="%1、"/>
      <w:lvlJc w:val="left"/>
    </w:lvl>
  </w:abstractNum>
  <w:abstractNum w:abstractNumId="6">
    <w:nsid w:val="EA0347D8"/>
    <w:multiLevelType w:val="singleLevel"/>
    <w:tmpl w:val="EA0347D8"/>
    <w:lvl w:ilvl="0" w:tentative="0">
      <w:start w:val="1"/>
      <w:numFmt w:val="decimal"/>
      <w:suff w:val="nothing"/>
      <w:lvlText w:val="（%1）"/>
      <w:lvlJc w:val="left"/>
    </w:lvl>
  </w:abstractNum>
  <w:abstractNum w:abstractNumId="7">
    <w:nsid w:val="FD1D51ED"/>
    <w:multiLevelType w:val="singleLevel"/>
    <w:tmpl w:val="FD1D51ED"/>
    <w:lvl w:ilvl="0" w:tentative="0">
      <w:start w:val="1"/>
      <w:numFmt w:val="decimal"/>
      <w:suff w:val="nothing"/>
      <w:lvlText w:val="（%1）"/>
      <w:lvlJc w:val="left"/>
    </w:lvl>
  </w:abstractNum>
  <w:abstractNum w:abstractNumId="8">
    <w:nsid w:val="16129D55"/>
    <w:multiLevelType w:val="singleLevel"/>
    <w:tmpl w:val="16129D55"/>
    <w:lvl w:ilvl="0" w:tentative="0">
      <w:start w:val="1"/>
      <w:numFmt w:val="decimal"/>
      <w:suff w:val="nothing"/>
      <w:lvlText w:val="%1、"/>
      <w:lvlJc w:val="left"/>
    </w:lvl>
  </w:abstractNum>
  <w:abstractNum w:abstractNumId="9">
    <w:nsid w:val="341D105B"/>
    <w:multiLevelType w:val="singleLevel"/>
    <w:tmpl w:val="341D105B"/>
    <w:lvl w:ilvl="0" w:tentative="0">
      <w:start w:val="1"/>
      <w:numFmt w:val="decimal"/>
      <w:suff w:val="nothing"/>
      <w:lvlText w:val="%1、"/>
      <w:lvlJc w:val="left"/>
    </w:lvl>
  </w:abstractNum>
  <w:abstractNum w:abstractNumId="10">
    <w:nsid w:val="41569A60"/>
    <w:multiLevelType w:val="singleLevel"/>
    <w:tmpl w:val="41569A60"/>
    <w:lvl w:ilvl="0" w:tentative="0">
      <w:start w:val="1"/>
      <w:numFmt w:val="decimal"/>
      <w:suff w:val="nothing"/>
      <w:lvlText w:val="%1、"/>
      <w:lvlJc w:val="left"/>
    </w:lvl>
  </w:abstractNum>
  <w:abstractNum w:abstractNumId="11">
    <w:nsid w:val="51138DFD"/>
    <w:multiLevelType w:val="singleLevel"/>
    <w:tmpl w:val="51138DFD"/>
    <w:lvl w:ilvl="0" w:tentative="0">
      <w:start w:val="1"/>
      <w:numFmt w:val="decimal"/>
      <w:suff w:val="nothing"/>
      <w:lvlText w:val="（%1）"/>
      <w:lvlJc w:val="left"/>
    </w:lvl>
  </w:abstractNum>
  <w:abstractNum w:abstractNumId="12">
    <w:nsid w:val="66B317F1"/>
    <w:multiLevelType w:val="singleLevel"/>
    <w:tmpl w:val="66B317F1"/>
    <w:lvl w:ilvl="0" w:tentative="0">
      <w:start w:val="1"/>
      <w:numFmt w:val="decimal"/>
      <w:suff w:val="nothing"/>
      <w:lvlText w:val="%1、"/>
      <w:lvlJc w:val="left"/>
    </w:lvl>
  </w:abstractNum>
  <w:num w:numId="1">
    <w:abstractNumId w:val="1"/>
  </w:num>
  <w:num w:numId="2">
    <w:abstractNumId w:val="0"/>
  </w:num>
  <w:num w:numId="3">
    <w:abstractNumId w:val="8"/>
  </w:num>
  <w:num w:numId="4">
    <w:abstractNumId w:val="9"/>
  </w:num>
  <w:num w:numId="5">
    <w:abstractNumId w:val="3"/>
  </w:num>
  <w:num w:numId="6">
    <w:abstractNumId w:val="7"/>
  </w:num>
  <w:num w:numId="7">
    <w:abstractNumId w:val="11"/>
  </w:num>
  <w:num w:numId="8">
    <w:abstractNumId w:val="6"/>
  </w:num>
  <w:num w:numId="9">
    <w:abstractNumId w:val="4"/>
  </w:num>
  <w:num w:numId="10">
    <w:abstractNumId w:val="2"/>
  </w:num>
  <w:num w:numId="11">
    <w:abstractNumId w:val="10"/>
  </w:num>
  <w:num w:numId="12">
    <w:abstractNumId w:val="5"/>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69073A"/>
    <w:rsid w:val="04B16A38"/>
    <w:rsid w:val="05F72D36"/>
    <w:rsid w:val="0DCE5392"/>
    <w:rsid w:val="1DCE031F"/>
    <w:rsid w:val="22967136"/>
    <w:rsid w:val="365457DF"/>
    <w:rsid w:val="39D10532"/>
    <w:rsid w:val="3F1B03E7"/>
    <w:rsid w:val="42856975"/>
    <w:rsid w:val="44BE2106"/>
    <w:rsid w:val="46516649"/>
    <w:rsid w:val="4B7F30B4"/>
    <w:rsid w:val="55A22C95"/>
    <w:rsid w:val="57F865F8"/>
    <w:rsid w:val="61E300E2"/>
    <w:rsid w:val="6C69073A"/>
    <w:rsid w:val="7F7214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100" w:beforeLines="100" w:after="100" w:afterLines="100" w:line="240" w:lineRule="auto"/>
      <w:ind w:left="432" w:hanging="432"/>
      <w:outlineLvl w:val="0"/>
    </w:pPr>
    <w:rPr>
      <w:rFonts w:ascii="Calibri" w:hAnsi="Calibri" w:eastAsia="黑体" w:cs="Times New Roman"/>
      <w:b/>
      <w:kern w:val="44"/>
      <w:sz w:val="44"/>
      <w:szCs w:val="22"/>
    </w:rPr>
  </w:style>
  <w:style w:type="paragraph" w:styleId="3">
    <w:name w:val="heading 2"/>
    <w:basedOn w:val="1"/>
    <w:next w:val="1"/>
    <w:semiHidden/>
    <w:unhideWhenUsed/>
    <w:qFormat/>
    <w:uiPriority w:val="0"/>
    <w:pPr>
      <w:keepNext/>
      <w:keepLines/>
      <w:numPr>
        <w:ilvl w:val="1"/>
        <w:numId w:val="1"/>
      </w:numPr>
      <w:spacing w:before="260" w:after="260" w:line="240" w:lineRule="auto"/>
      <w:ind w:left="573" w:hanging="573"/>
      <w:outlineLvl w:val="1"/>
    </w:pPr>
    <w:rPr>
      <w:rFonts w:ascii="Arial" w:hAnsi="Arial" w:eastAsia="黑体" w:cs="Times New Roman"/>
      <w:b/>
      <w:sz w:val="32"/>
      <w:szCs w:val="2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rFonts w:ascii="Times New Roman" w:hAnsi="Times New Roman" w:eastAsia="黑体" w:cs="Times New Roman"/>
      <w:sz w:val="32"/>
    </w:rPr>
  </w:style>
  <w:style w:type="paragraph" w:styleId="5">
    <w:name w:val="heading 4"/>
    <w:next w:val="1"/>
    <w:semiHidden/>
    <w:unhideWhenUsed/>
    <w:qFormat/>
    <w:uiPriority w:val="0"/>
    <w:pPr>
      <w:keepNext/>
      <w:keepLines/>
      <w:numPr>
        <w:ilvl w:val="3"/>
        <w:numId w:val="1"/>
      </w:numPr>
      <w:spacing w:before="280" w:after="290" w:line="376" w:lineRule="atLeast"/>
      <w:ind w:left="1494" w:hanging="864"/>
      <w:outlineLvl w:val="3"/>
    </w:pPr>
    <w:rPr>
      <w:rFonts w:ascii="Songti SC" w:hAnsi="Songti SC" w:eastAsia="黑体" w:cstheme="majorBidi"/>
      <w:bCs/>
      <w:sz w:val="24"/>
      <w:szCs w:val="28"/>
      <w:lang w:val="en-US" w:eastAsia="zh-CN" w:bidi="ar-SA"/>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Body Text"/>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8"/>
      <w:szCs w:val="24"/>
      <w:lang w:bidi="ar-SA"/>
    </w:rPr>
  </w:style>
  <w:style w:type="table" w:styleId="8">
    <w:name w:val="Table Grid"/>
    <w:basedOn w:val="7"/>
    <w:qFormat/>
    <w:uiPriority w:val="59"/>
    <w:pPr>
      <w:widowControl w:val="0"/>
      <w:jc w:val="both"/>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正文1"/>
    <w:qFormat/>
    <w:uiPriority w:val="0"/>
    <w:pPr>
      <w:spacing w:line="400" w:lineRule="exact"/>
      <w:ind w:firstLine="720" w:firstLineChars="200"/>
      <w:jc w:val="both"/>
    </w:pPr>
    <w:rPr>
      <w:rFonts w:ascii="Times New Roman" w:hAnsi="Times New Roman" w:eastAsia="仿宋" w:cs="Times New Roman"/>
      <w:kern w:val="2"/>
      <w:sz w:val="28"/>
      <w:szCs w:val="21"/>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6144</Words>
  <Characters>6322</Characters>
  <Lines>0</Lines>
  <Paragraphs>0</Paragraphs>
  <TotalTime>8</TotalTime>
  <ScaleCrop>false</ScaleCrop>
  <LinksUpToDate>false</LinksUpToDate>
  <CharactersWithSpaces>6334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2026-05-12T02:41:00Z</dcterms:created>
  <dc:creator>WB</dc:creator>
  <cp:lastModifiedBy>雪</cp:lastModifiedBy>
  <dcterms:modified xsi:type="dcterms:W3CDTF">2026-06-04T07:23:39Z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6DC5F9D19BEE4F6896B2D31685032544_11</vt:lpwstr>
  </property>
  <property fmtid="{D5CDD505-2E9C-101B-9397-08002B2CF9AE}" pid="4" name="KSOTemplateDocerSaveRecord">
    <vt:lpwstr>eyJoZGlkIjoiOTc3M2Y5NzIzMDFlZjAyY2Q4Njk5ODkyYjFjNzBiNTQiLCJ1c2VySWQiOiI2NDE2MDY2NTUifQ==</vt:lpwstr>
  </property>
</Properties>
</file>