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
        <w:jc w:val="center"/>
      </w:pPr>
      <w:r>
        <w:rPr>
          <w:rFonts w:ascii="Arial" w:cs="Arial" w:eastAsia="Arial" w:hAnsi="Arial"/>
          <w:b/>
          <w:bCs/>
          <w:sz w:val="44"/>
          <w:szCs w:val="44"/>
        </w:rPr>
        <w:t xml:space="preserve">Mike Vector Retrieval</w:t>
      </w:r>
    </w:p>
    <w:p>
      <w:pPr>
        <w:spacing w:after="480"/>
        <w:jc w:val="center"/>
      </w:pPr>
      <w:r>
        <w:rPr>
          <w:rFonts w:ascii="Arial" w:cs="Arial" w:eastAsia="Arial" w:hAnsi="Arial"/>
          <w:b/>
          <w:bCs/>
          <w:sz w:val="32"/>
          <w:szCs w:val="32"/>
        </w:rPr>
        <w:t xml:space="preserve">Architecture Recommendation</w:t>
      </w:r>
    </w:p>
    <w:p>
      <w:pPr>
        <w:spacing w:after="60"/>
        <w:jc w:val="center"/>
      </w:pPr>
      <w:r>
        <w:rPr>
          <w:rFonts w:ascii="Arial" w:cs="Arial" w:eastAsia="Arial" w:hAnsi="Arial"/>
          <w:i/>
          <w:iCs/>
          <w:sz w:val="24"/>
          <w:szCs w:val="24"/>
        </w:rPr>
        <w:t xml:space="preserve">A plain‑English summary of the proposed design,</w:t>
      </w:r>
    </w:p>
    <w:p>
      <w:pPr>
        <w:spacing w:after="360"/>
        <w:jc w:val="center"/>
      </w:pPr>
      <w:r>
        <w:rPr>
          <w:rFonts w:ascii="Arial" w:cs="Arial" w:eastAsia="Arial" w:hAnsi="Arial"/>
          <w:i/>
          <w:iCs/>
          <w:sz w:val="24"/>
          <w:szCs w:val="24"/>
        </w:rPr>
        <w:t xml:space="preserve">with costs, timeline, and savings alternatives</w:t>
      </w:r>
    </w:p>
    <w:p>
      <w:pPr>
        <w:spacing w:after="60"/>
        <w:jc w:val="center"/>
      </w:pPr>
      <w:r>
        <w:rPr>
          <w:rFonts w:ascii="Arial" w:cs="Arial" w:eastAsia="Arial" w:hAnsi="Arial"/>
          <w:sz w:val="22"/>
          <w:szCs w:val="22"/>
        </w:rPr>
        <w:t xml:space="preserve">Prepared for Hugh Carlson  |  May 27, 2026</w:t>
      </w:r>
    </w:p>
    <w:p>
      <w:pPr>
        <w:spacing w:after="240"/>
        <w:jc w:val="center"/>
      </w:pPr>
      <w:r>
        <w:rPr>
          <w:rFonts w:ascii="Arial" w:cs="Arial" w:eastAsia="Arial" w:hAnsi="Arial"/>
          <w:i/>
          <w:iCs/>
          <w:color w:val="555555"/>
          <w:sz w:val="18"/>
          <w:szCs w:val="18"/>
        </w:rPr>
        <w:t xml:space="preserve">Companion to: 2026‑05‑27‑mike‑vector‑architecture‑review.md</w:t>
      </w:r>
    </w:p>
    <w:p>
      <w:pPr>
        <w:pStyle w:val="Heading1"/>
        <w:spacing w:after="200" w:before="360"/>
      </w:pPr>
      <w:r>
        <w:rPr>
          <w:rFonts w:ascii="Arial" w:cs="Arial" w:eastAsia="Arial" w:hAnsi="Arial"/>
          <w:b/>
          <w:bCs/>
          <w:sz w:val="32"/>
          <w:szCs w:val="32"/>
        </w:rPr>
        <w:t xml:space="preserve">1.  Executive summary</w:t>
      </w:r>
    </w:p>
    <w:p>
      <w:pPr>
        <w:spacing w:after="100" w:line="276"/>
      </w:pPr>
      <w:r>
        <w:rPr>
          <w:rFonts w:ascii="Arial" w:cs="Arial" w:eastAsia="Arial" w:hAnsi="Arial"/>
        </w:rPr>
        <w:t xml:space="preserve">Mike today supports two ways to interrogate uploaded documents: a Ctrl+F‑style keyword search (“find_in_document”) and a full text dump (“read_document”).  These tools work when a project contains a handful of documents.  They do not scale to the workload you actually intend to run on Mike — a full arbitration record can run 100,000 pages, which is roughly 250 times more text than the largest available language‑model context window can hold in one prompt.  No amount of context‑window growth fixes this in any reasonable timeframe.</w:t>
      </w:r>
    </w:p>
    <w:p>
      <w:pPr>
        <w:spacing w:after="100" w:line="276"/>
      </w:pPr>
      <w:r>
        <w:rPr>
          <w:rFonts w:ascii="Arial" w:cs="Arial" w:eastAsia="Arial" w:hAnsi="Arial"/>
        </w:rPr>
        <w:t xml:space="preserve">This document recommends an architecture for building Mike into a system that can answer questions over corpora of that size while preserving the property lawyers most need from a research tool: every factual claim is anchored to a verifiable, verbatim passage in a specific document at a specific location — exhibit number, page, paragraph, Bates range, or transcript day/page/line, as appropriate.</w:t>
      </w:r>
    </w:p>
    <w:p>
      <w:pPr>
        <w:spacing w:after="100" w:line="276"/>
      </w:pPr>
      <w:r>
        <w:rPr>
          <w:rFonts w:ascii="Arial" w:cs="Arial" w:eastAsia="Arial" w:hAnsi="Arial"/>
        </w:rPr>
        <w:t xml:space="preserve">The architecture decomposes into seven layers — ingestion, chunking, storage, retrieval, synthesis with citations, a verification interface, and (eventually) agentic workflows.  Version one ships only the first six layers, and only the simpler half of the retrieval layer.  The remaining capabilities — hybrid search, neural reranking, and templated multi‑step workflows — are deferred to a version 1.5 that the project earns the right to build by validating version one against a real arbitration record.</w:t>
      </w:r>
    </w:p>
    <w:p>
      <w:pPr>
        <w:spacing w:after="100" w:line="276"/>
      </w:pPr>
      <w:r>
        <w:rPr>
          <w:rFonts w:ascii="Arial" w:cs="Arial" w:eastAsia="Arial" w:hAnsi="Arial"/>
          <w:b/>
          <w:bCs/>
        </w:rPr>
        <w:t xml:space="preserve">The decisional summary:</w:t>
      </w:r>
    </w:p>
    <w:p>
      <w:pPr>
        <w:pStyle w:val="ListParagraph"/>
        <w:numPr>
          <w:ilvl w:val="0"/>
          <w:numId w:val="2"/>
        </w:numPr>
        <w:spacing w:after="60" w:line="276"/>
      </w:pPr>
      <w:r>
        <w:rPr>
          <w:rFonts w:ascii="Arial" w:cs="Arial" w:eastAsia="Arial" w:hAnsi="Arial"/>
          <w:b/>
          <w:bCs/>
        </w:rPr>
        <w:t xml:space="preserve">Vector store: </w:t>
      </w:r>
      <w:r>
        <w:rPr>
          <w:rFonts w:ascii="Arial" w:cs="Arial" w:eastAsia="Arial" w:hAnsi="Arial"/>
        </w:rPr>
        <w:t xml:space="preserve">Turbopuffer, a purpose‑built vector database, rather than retrofitting the existing Railway Postgres with the pgvector extension.</w:t>
      </w:r>
    </w:p>
    <w:p>
      <w:pPr>
        <w:pStyle w:val="ListParagraph"/>
        <w:numPr>
          <w:ilvl w:val="0"/>
          <w:numId w:val="2"/>
        </w:numPr>
        <w:spacing w:after="60" w:line="276"/>
      </w:pPr>
      <w:r>
        <w:rPr>
          <w:rFonts w:ascii="Arial" w:cs="Arial" w:eastAsia="Arial" w:hAnsi="Arial"/>
          <w:b/>
          <w:bCs/>
        </w:rPr>
        <w:t xml:space="preserve">OCR: </w:t>
      </w:r>
      <w:r>
        <w:rPr>
          <w:rFonts w:ascii="Arial" w:cs="Arial" w:eastAsia="Arial" w:hAnsi="Arial"/>
        </w:rPr>
        <w:t xml:space="preserve">Google Document AI Layout Parser as the default, with Reducto as escalation for the small fraction of pages that contain complex tables.</w:t>
      </w:r>
    </w:p>
    <w:p>
      <w:pPr>
        <w:pStyle w:val="ListParagraph"/>
        <w:numPr>
          <w:ilvl w:val="0"/>
          <w:numId w:val="2"/>
        </w:numPr>
        <w:spacing w:after="60" w:line="276"/>
      </w:pPr>
      <w:r>
        <w:rPr>
          <w:rFonts w:ascii="Arial" w:cs="Arial" w:eastAsia="Arial" w:hAnsi="Arial"/>
          <w:b/>
          <w:bCs/>
        </w:rPr>
        <w:t xml:space="preserve">Embeddings: </w:t>
      </w:r>
      <w:r>
        <w:rPr>
          <w:rFonts w:ascii="Arial" w:cs="Arial" w:eastAsia="Arial" w:hAnsi="Arial"/>
        </w:rPr>
        <w:t xml:space="preserve">Voyage “voyage‑law‑2,” a legal‑trained embedding model (and now part of Anthropic).</w:t>
      </w:r>
    </w:p>
    <w:p>
      <w:pPr>
        <w:pStyle w:val="ListParagraph"/>
        <w:numPr>
          <w:ilvl w:val="0"/>
          <w:numId w:val="2"/>
        </w:numPr>
        <w:spacing w:after="60" w:line="276"/>
      </w:pPr>
      <w:r>
        <w:rPr>
          <w:rFonts w:ascii="Arial" w:cs="Arial" w:eastAsia="Arial" w:hAnsi="Arial"/>
          <w:b/>
          <w:bCs/>
        </w:rPr>
        <w:t xml:space="preserve">Reranker: </w:t>
      </w:r>
      <w:r>
        <w:rPr>
          <w:rFonts w:ascii="Arial" w:cs="Arial" w:eastAsia="Arial" w:hAnsi="Arial"/>
        </w:rPr>
        <w:t xml:space="preserve">Voyage “rerank‑2.5” for refining the top results before synthesis (deferred to v1.5).</w:t>
      </w:r>
    </w:p>
    <w:p>
      <w:pPr>
        <w:pStyle w:val="ListParagraph"/>
        <w:numPr>
          <w:ilvl w:val="0"/>
          <w:numId w:val="2"/>
        </w:numPr>
        <w:spacing w:after="60" w:line="276"/>
      </w:pPr>
      <w:r>
        <w:rPr>
          <w:rFonts w:ascii="Arial" w:cs="Arial" w:eastAsia="Arial" w:hAnsi="Arial"/>
          <w:b/>
          <w:bCs/>
        </w:rPr>
        <w:t xml:space="preserve">Synthesis: </w:t>
      </w:r>
      <w:r>
        <w:rPr>
          <w:rFonts w:ascii="Arial" w:cs="Arial" w:eastAsia="Arial" w:hAnsi="Arial"/>
        </w:rPr>
        <w:t xml:space="preserve">Claude Sonnet 4.6 by default, escalating to Opus 4.7 only for multi‑hop reasoning queries; Haiku 4.5 for cheap utility passes (metadata extraction, query rewriting).</w:t>
      </w:r>
    </w:p>
    <w:p>
      <w:pPr>
        <w:pStyle w:val="ListParagraph"/>
        <w:numPr>
          <w:ilvl w:val="0"/>
          <w:numId w:val="2"/>
        </w:numPr>
        <w:spacing w:after="60" w:line="276"/>
      </w:pPr>
      <w:r>
        <w:rPr>
          <w:rFonts w:ascii="Arial" w:cs="Arial" w:eastAsia="Arial" w:hAnsi="Arial"/>
          <w:b/>
          <w:bCs/>
        </w:rPr>
        <w:t xml:space="preserve">Citation integrity: </w:t>
      </w:r>
      <w:r>
        <w:rPr>
          <w:rFonts w:ascii="Arial" w:cs="Arial" w:eastAsia="Arial" w:hAnsi="Arial"/>
        </w:rPr>
        <w:t xml:space="preserve">offset‑anchored verbatim extraction — the model picks which span to quote; the renderer pulls the actual text from the source file by character offset, making misquotes mechanically impossible.</w:t>
      </w:r>
    </w:p>
    <w:p>
      <w:pPr>
        <w:pStyle w:val="ListParagraph"/>
        <w:numPr>
          <w:ilvl w:val="0"/>
          <w:numId w:val="2"/>
        </w:numPr>
        <w:spacing w:after="60" w:line="276"/>
      </w:pPr>
      <w:r>
        <w:rPr>
          <w:rFonts w:ascii="Arial" w:cs="Arial" w:eastAsia="Arial" w:hAnsi="Arial"/>
          <w:b/>
          <w:bCs/>
        </w:rPr>
        <w:t xml:space="preserve">Scope discipline: </w:t>
      </w:r>
      <w:r>
        <w:rPr>
          <w:rFonts w:ascii="Arial" w:cs="Arial" w:eastAsia="Arial" w:hAnsi="Arial"/>
        </w:rPr>
        <w:t xml:space="preserve">ship v1 first, validate on one real arbitration, then earn v1.5.</w:t>
      </w:r>
    </w:p>
    <w:p>
      <w:pPr>
        <w:spacing w:after="100" w:line="276"/>
      </w:pPr>
      <w:r>
        <w:rPr>
          <w:rFonts w:ascii="Arial" w:cs="Arial" w:eastAsia="Arial" w:hAnsi="Arial"/>
          <w:b/>
          <w:bCs/>
        </w:rPr>
        <w:t xml:space="preserve">Headline numbers</w:t>
      </w:r>
    </w:p>
    <w:p>
      <w:pPr>
        <w:pStyle w:val="ListParagraph"/>
        <w:numPr>
          <w:ilvl w:val="0"/>
          <w:numId w:val="2"/>
        </w:numPr>
        <w:spacing w:after="60" w:line="276"/>
      </w:pPr>
      <w:r>
        <w:rPr>
          <w:rFonts w:ascii="Arial" w:cs="Arial" w:eastAsia="Arial" w:hAnsi="Arial"/>
          <w:b/>
          <w:bCs/>
        </w:rPr>
        <w:t xml:space="preserve">Timeline: </w:t>
      </w:r>
      <w:r>
        <w:rPr>
          <w:rFonts w:ascii="Arial" w:cs="Arial" w:eastAsia="Arial" w:hAnsi="Arial"/>
        </w:rPr>
        <w:t xml:space="preserve">~6–7 calendar weeks of focused work to validated v1; ~8.5–10 weeks to v1.5 with hybrid retrieval and one agentic workflow.</w:t>
      </w:r>
    </w:p>
    <w:p>
      <w:pPr>
        <w:pStyle w:val="ListParagraph"/>
        <w:numPr>
          <w:ilvl w:val="0"/>
          <w:numId w:val="2"/>
        </w:numPr>
        <w:spacing w:after="60" w:line="276"/>
      </w:pPr>
      <w:r>
        <w:rPr>
          <w:rFonts w:ascii="Arial" w:cs="Arial" w:eastAsia="Arial" w:hAnsi="Arial"/>
          <w:b/>
          <w:bCs/>
        </w:rPr>
        <w:t xml:space="preserve">One‑time ingest per arbitration: </w:t>
      </w:r>
      <w:r>
        <w:rPr>
          <w:rFonts w:ascii="Arial" w:cs="Arial" w:eastAsia="Arial" w:hAnsi="Arial"/>
        </w:rPr>
        <w:t xml:space="preserve">~$1,000–$1,350 — dominated by OCR.</w:t>
      </w:r>
    </w:p>
    <w:p>
      <w:pPr>
        <w:pStyle w:val="ListParagraph"/>
        <w:numPr>
          <w:ilvl w:val="0"/>
          <w:numId w:val="2"/>
        </w:numPr>
        <w:spacing w:after="60" w:line="276"/>
      </w:pPr>
      <w:r>
        <w:rPr>
          <w:rFonts w:ascii="Arial" w:cs="Arial" w:eastAsia="Arial" w:hAnsi="Arial"/>
          <w:b/>
          <w:bCs/>
        </w:rPr>
        <w:t xml:space="preserve">Ongoing per active matter: </w:t>
      </w:r>
      <w:r>
        <w:rPr>
          <w:rFonts w:ascii="Arial" w:cs="Arial" w:eastAsia="Arial" w:hAnsi="Arial"/>
        </w:rPr>
        <w:t xml:space="preserve">~$15/month storage; $20–$50/month queries depending on usage.</w:t>
      </w:r>
    </w:p>
    <w:p>
      <w:pPr>
        <w:pStyle w:val="ListParagraph"/>
        <w:numPr>
          <w:ilvl w:val="0"/>
          <w:numId w:val="2"/>
        </w:numPr>
        <w:spacing w:after="60" w:line="276"/>
      </w:pPr>
      <w:r>
        <w:rPr>
          <w:rFonts w:ascii="Arial" w:cs="Arial" w:eastAsia="Arial" w:hAnsi="Arial"/>
          <w:b/>
          <w:bCs/>
        </w:rPr>
        <w:t xml:space="preserve">Build‑time spend: </w:t>
      </w:r>
      <w:r>
        <w:rPr>
          <w:rFonts w:ascii="Arial" w:cs="Arial" w:eastAsia="Arial" w:hAnsi="Arial"/>
        </w:rPr>
        <w:t xml:space="preserve">~$600–$1,500 total across all phases, dominated by the real‑arbitration validation ingest at the end.</w:t>
      </w:r>
    </w:p>
    <w:p>
      <w:pPr>
        <w:spacing w:after="100" w:line="276"/>
      </w:pPr>
      <w:r>
        <w:rPr>
          <w:rFonts w:ascii="Arial" w:cs="Arial" w:eastAsia="Arial" w:hAnsi="Arial"/>
        </w:rPr>
        <w:t xml:space="preserve">Section 9 (“Cost and time‑saving alternatives”) identifies five places where you can trade modest performance loss for meaningful cost or time savings, depending on which constraint binds harder.  Section 11 contains the recommendation in one paragraph.</w:t>
      </w:r>
    </w:p>
    <w:p>
      <w:pPr>
        <w:pStyle w:val="Heading1"/>
        <w:spacing w:after="200" w:before="360"/>
      </w:pPr>
      <w:r>
        <w:rPr>
          <w:rFonts w:ascii="Arial" w:cs="Arial" w:eastAsia="Arial" w:hAnsi="Arial"/>
          <w:b/>
          <w:bCs/>
          <w:sz w:val="32"/>
          <w:szCs w:val="32"/>
        </w:rPr>
        <w:t xml:space="preserve">2.  Glossary of key terms</w:t>
      </w:r>
    </w:p>
    <w:p>
      <w:pPr>
        <w:spacing w:after="100" w:line="276"/>
      </w:pPr>
      <w:r>
        <w:rPr>
          <w:rFonts w:ascii="Arial" w:cs="Arial" w:eastAsia="Arial" w:hAnsi="Arial"/>
        </w:rPr>
        <w:t xml:space="preserve">These definitions are operational — written to support reading the rest of this document, not as comprehensive technical specifications.</w:t>
      </w:r>
    </w:p>
    <w:p>
      <w:pPr>
        <w:spacing w:after="100" w:line="276"/>
      </w:pPr>
      <w:r>
        <w:rPr>
          <w:rFonts w:ascii="Arial" w:cs="Arial" w:eastAsia="Arial" w:hAnsi="Arial"/>
          <w:b/>
          <w:bCs/>
        </w:rPr>
        <w:t xml:space="preserve">Token.  </w:t>
      </w:r>
      <w:r>
        <w:rPr>
          <w:rFonts w:ascii="Arial" w:cs="Arial" w:eastAsia="Arial" w:hAnsi="Arial"/>
        </w:rPr>
        <w:t xml:space="preserve">The unit a language model counts in.  Roughly three‑quarters of a word in English.  A 100,000‑page arbitration runs to about 50 million tokens.  All language‑model pricing is per‑token (typically per million).</w:t>
      </w:r>
    </w:p>
    <w:p>
      <w:pPr>
        <w:spacing w:after="100" w:line="276"/>
      </w:pPr>
      <w:r>
        <w:rPr>
          <w:rFonts w:ascii="Arial" w:cs="Arial" w:eastAsia="Arial" w:hAnsi="Arial"/>
          <w:b/>
          <w:bCs/>
        </w:rPr>
        <w:t xml:space="preserve">Context window.  </w:t>
      </w:r>
      <w:r>
        <w:rPr>
          <w:rFonts w:ascii="Arial" w:cs="Arial" w:eastAsia="Arial" w:hAnsi="Arial"/>
        </w:rPr>
        <w:t xml:space="preserve">The maximum number of tokens a model can consider in one call.  Claude’s current window is 200,000 tokens — about 400 pages.  A full arbitration record is ~250 times that, so feeding the whole record to the model is not an option at any price.</w:t>
      </w:r>
    </w:p>
    <w:p>
      <w:pPr>
        <w:spacing w:after="100" w:line="276"/>
      </w:pPr>
      <w:r>
        <w:rPr>
          <w:rFonts w:ascii="Arial" w:cs="Arial" w:eastAsia="Arial" w:hAnsi="Arial"/>
          <w:b/>
          <w:bCs/>
        </w:rPr>
        <w:t xml:space="preserve">OCR (Optical Character Recognition).  </w:t>
      </w:r>
      <w:r>
        <w:rPr>
          <w:rFonts w:ascii="Arial" w:cs="Arial" w:eastAsia="Arial" w:hAnsi="Arial"/>
        </w:rPr>
        <w:t xml:space="preserve">Conversion of scanned PDF page images into machine‑readable text.  Required for 70–90 percent of arbitration exhibits, which are scanned rather than born‑digital.</w:t>
      </w:r>
    </w:p>
    <w:p>
      <w:pPr>
        <w:spacing w:after="100" w:line="276"/>
      </w:pPr>
      <w:r>
        <w:rPr>
          <w:rFonts w:ascii="Arial" w:cs="Arial" w:eastAsia="Arial" w:hAnsi="Arial"/>
          <w:b/>
          <w:bCs/>
        </w:rPr>
        <w:t xml:space="preserve">Layout parser.  </w:t>
      </w:r>
      <w:r>
        <w:rPr>
          <w:rFonts w:ascii="Arial" w:cs="Arial" w:eastAsia="Arial" w:hAnsi="Arial"/>
        </w:rPr>
        <w:t xml:space="preserve">An OCR mode that preserves document structure — reading order across columns, table cells, headings, paragraphs — rather than just dumping text.  Costs more per page but is necessary when tables and multi‑column layouts matter (i.e., always, in arbitration exhibits).</w:t>
      </w:r>
    </w:p>
    <w:p>
      <w:pPr>
        <w:spacing w:after="100" w:line="276"/>
      </w:pPr>
      <w:r>
        <w:rPr>
          <w:rFonts w:ascii="Arial" w:cs="Arial" w:eastAsia="Arial" w:hAnsi="Arial"/>
          <w:b/>
          <w:bCs/>
        </w:rPr>
        <w:t xml:space="preserve">Chunk.  </w:t>
      </w:r>
      <w:r>
        <w:rPr>
          <w:rFonts w:ascii="Arial" w:cs="Arial" w:eastAsia="Arial" w:hAnsi="Arial"/>
        </w:rPr>
        <w:t xml:space="preserve">A short, retrievable passage of text.  The unit at which the system stores and retrieves.  A typical chunk is one numbered paragraph from a pleading, one Q‑A pair from a transcript, or a 256‑token slice of a generic exhibit.</w:t>
      </w:r>
    </w:p>
    <w:p>
      <w:pPr>
        <w:spacing w:after="100" w:line="276"/>
      </w:pPr>
      <w:r>
        <w:rPr>
          <w:rFonts w:ascii="Arial" w:cs="Arial" w:eastAsia="Arial" w:hAnsi="Arial"/>
          <w:b/>
          <w:bCs/>
        </w:rPr>
        <w:t xml:space="preserve">Embedding.  </w:t>
      </w:r>
      <w:r>
        <w:rPr>
          <w:rFonts w:ascii="Arial" w:cs="Arial" w:eastAsia="Arial" w:hAnsi="Arial"/>
        </w:rPr>
        <w:t xml:space="preserve">A numeric fingerprint of a chunk of text, produced by a model trained to place semantically similar texts close together in a high‑dimensional space.  An embedding is just a list of numbers (Voyage’s legal model produces 1,024 numbers per chunk).  Two chunks with similar embeddings tend to talk about similar things, even if they share no words in common.</w:t>
      </w:r>
    </w:p>
    <w:p>
      <w:pPr>
        <w:spacing w:after="100" w:line="276"/>
      </w:pPr>
      <w:r>
        <w:rPr>
          <w:rFonts w:ascii="Arial" w:cs="Arial" w:eastAsia="Arial" w:hAnsi="Arial"/>
          <w:b/>
          <w:bCs/>
        </w:rPr>
        <w:t xml:space="preserve">Semantic search.  </w:t>
      </w:r>
      <w:r>
        <w:rPr>
          <w:rFonts w:ascii="Arial" w:cs="Arial" w:eastAsia="Arial" w:hAnsi="Arial"/>
        </w:rPr>
        <w:t xml:space="preserve">Retrieval based on embedding similarity rather than exact keyword match.  Lets the user ask “what does the record say about late delivery” and find chunks that talk about “delay,” “non‑performance of schedule,” or “force majeure” — not just chunks containing the literal phrase.</w:t>
      </w:r>
    </w:p>
    <w:p>
      <w:pPr>
        <w:spacing w:after="100" w:line="276"/>
      </w:pPr>
      <w:r>
        <w:rPr>
          <w:rFonts w:ascii="Arial" w:cs="Arial" w:eastAsia="Arial" w:hAnsi="Arial"/>
          <w:b/>
          <w:bCs/>
        </w:rPr>
        <w:t xml:space="preserve">Cosine similarity.  </w:t>
      </w:r>
      <w:r>
        <w:rPr>
          <w:rFonts w:ascii="Arial" w:cs="Arial" w:eastAsia="Arial" w:hAnsi="Arial"/>
        </w:rPr>
        <w:t xml:space="preserve">The standard math for measuring how close two embeddings are.  Returns a number between −1 and 1; higher is more similar.</w:t>
      </w:r>
    </w:p>
    <w:p>
      <w:pPr>
        <w:spacing w:after="100" w:line="276"/>
      </w:pPr>
      <w:r>
        <w:rPr>
          <w:rFonts w:ascii="Arial" w:cs="Arial" w:eastAsia="Arial" w:hAnsi="Arial"/>
          <w:b/>
          <w:bCs/>
        </w:rPr>
        <w:t xml:space="preserve">BM25.  </w:t>
      </w:r>
      <w:r>
        <w:rPr>
          <w:rFonts w:ascii="Arial" w:cs="Arial" w:eastAsia="Arial" w:hAnsi="Arial"/>
        </w:rPr>
        <w:t xml:space="preserve">A classical keyword‑based ranking function used by every serious search engine for the last twenty years.  Better than naive keyword counting; complementary to embedding‑based search.</w:t>
      </w:r>
    </w:p>
    <w:p>
      <w:pPr>
        <w:spacing w:after="100" w:line="276"/>
      </w:pPr>
      <w:r>
        <w:rPr>
          <w:rFonts w:ascii="Arial" w:cs="Arial" w:eastAsia="Arial" w:hAnsi="Arial"/>
          <w:b/>
          <w:bCs/>
        </w:rPr>
        <w:t xml:space="preserve">Hybrid search.  </w:t>
      </w:r>
      <w:r>
        <w:rPr>
          <w:rFonts w:ascii="Arial" w:cs="Arial" w:eastAsia="Arial" w:hAnsi="Arial"/>
        </w:rPr>
        <w:t xml:space="preserve">Running BM25 (keyword) and embedding (semantic) search in parallel and combining the results.  Catches both “the lawyer typed the exact phrase” wins and “the lawyer typed a paraphrase” wins, in one query.</w:t>
      </w:r>
    </w:p>
    <w:p>
      <w:pPr>
        <w:spacing w:after="100" w:line="276"/>
      </w:pPr>
      <w:r>
        <w:rPr>
          <w:rFonts w:ascii="Arial" w:cs="Arial" w:eastAsia="Arial" w:hAnsi="Arial"/>
          <w:b/>
          <w:bCs/>
        </w:rPr>
        <w:t xml:space="preserve">Reranker (cross‑encoder).  </w:t>
      </w:r>
      <w:r>
        <w:rPr>
          <w:rFonts w:ascii="Arial" w:cs="Arial" w:eastAsia="Arial" w:hAnsi="Arial"/>
        </w:rPr>
        <w:t xml:space="preserve">A second‑pass model that takes the top ~50 candidate chunks from the first retrieval step and re‑scores them by reading the query and each chunk together.  More expensive per call than embedding similarity but much more accurate at the very top of the ranking, where it matters most for synthesis quality.</w:t>
      </w:r>
    </w:p>
    <w:p>
      <w:pPr>
        <w:spacing w:after="100" w:line="276"/>
      </w:pPr>
      <w:r>
        <w:rPr>
          <w:rFonts w:ascii="Arial" w:cs="Arial" w:eastAsia="Arial" w:hAnsi="Arial"/>
          <w:b/>
          <w:bCs/>
        </w:rPr>
        <w:t xml:space="preserve">RAG (Retrieval‑Augmented Generation).  </w:t>
      </w:r>
      <w:r>
        <w:rPr>
          <w:rFonts w:ascii="Arial" w:cs="Arial" w:eastAsia="Arial" w:hAnsi="Arial"/>
        </w:rPr>
        <w:t xml:space="preserve">The umbrella name for the pattern “retrieve relevant chunks, then feed them to the LLM as part of the prompt.”  Everything in this document is a RAG architecture.</w:t>
      </w:r>
    </w:p>
    <w:p>
      <w:pPr>
        <w:spacing w:after="100" w:line="276"/>
      </w:pPr>
      <w:r>
        <w:rPr>
          <w:rFonts w:ascii="Arial" w:cs="Arial" w:eastAsia="Arial" w:hAnsi="Arial"/>
          <w:b/>
          <w:bCs/>
        </w:rPr>
        <w:t xml:space="preserve">Vector database.  </w:t>
      </w:r>
      <w:r>
        <w:rPr>
          <w:rFonts w:ascii="Arial" w:cs="Arial" w:eastAsia="Arial" w:hAnsi="Arial"/>
        </w:rPr>
        <w:t xml:space="preserve">A database optimized for embedding‑similarity queries.  Examples: Turbopuffer, Pinecone, Weaviate, Qdrant.  Postgres can be made into one with the pgvector extension.</w:t>
      </w:r>
    </w:p>
    <w:p>
      <w:pPr>
        <w:spacing w:after="100" w:line="276"/>
      </w:pPr>
      <w:r>
        <w:rPr>
          <w:rFonts w:ascii="Arial" w:cs="Arial" w:eastAsia="Arial" w:hAnsi="Arial"/>
          <w:b/>
          <w:bCs/>
        </w:rPr>
        <w:t xml:space="preserve">pgvector.  </w:t>
      </w:r>
      <w:r>
        <w:rPr>
          <w:rFonts w:ascii="Arial" w:cs="Arial" w:eastAsia="Arial" w:hAnsi="Arial"/>
        </w:rPr>
        <w:t xml:space="preserve">An open‑source Postgres extension that adds a vector column type and similarity‑search operators.  Workable for small‑to‑medium corpora; less attractive at multi‑matter scale on a single Postgres node.</w:t>
      </w:r>
    </w:p>
    <w:p>
      <w:pPr>
        <w:spacing w:after="100" w:line="276"/>
      </w:pPr>
      <w:r>
        <w:rPr>
          <w:rFonts w:ascii="Arial" w:cs="Arial" w:eastAsia="Arial" w:hAnsi="Arial"/>
          <w:b/>
          <w:bCs/>
        </w:rPr>
        <w:t xml:space="preserve">Turbopuffer.  </w:t>
      </w:r>
      <w:r>
        <w:rPr>
          <w:rFonts w:ascii="Arial" w:cs="Arial" w:eastAsia="Arial" w:hAnsi="Arial"/>
        </w:rPr>
        <w:t xml:space="preserve">A managed vector database built specifically for the multi‑tenant, hybrid‑search, S3‑backed pattern that fits this workload.  Pay per use, no infrastructure to operate.</w:t>
      </w:r>
    </w:p>
    <w:p>
      <w:pPr>
        <w:spacing w:after="100" w:line="276"/>
      </w:pPr>
      <w:r>
        <w:rPr>
          <w:rFonts w:ascii="Arial" w:cs="Arial" w:eastAsia="Arial" w:hAnsi="Arial"/>
          <w:b/>
          <w:bCs/>
        </w:rPr>
        <w:t xml:space="preserve">Namespace (in a vector DB).  </w:t>
      </w:r>
      <w:r>
        <w:rPr>
          <w:rFonts w:ascii="Arial" w:cs="Arial" w:eastAsia="Arial" w:hAnsi="Arial"/>
        </w:rPr>
        <w:t xml:space="preserve">An isolation boundary inside the vector store.  In this design, one namespace per matter — the retrieval layer cannot accidentally return chunks from a different matter.</w:t>
      </w:r>
    </w:p>
    <w:p>
      <w:pPr>
        <w:spacing w:after="100" w:line="276"/>
      </w:pPr>
      <w:r>
        <w:rPr>
          <w:rFonts w:ascii="Arial" w:cs="Arial" w:eastAsia="Arial" w:hAnsi="Arial"/>
          <w:b/>
          <w:bCs/>
        </w:rPr>
        <w:t xml:space="preserve">Filter pushdown.  </w:t>
      </w:r>
      <w:r>
        <w:rPr>
          <w:rFonts w:ascii="Arial" w:cs="Arial" w:eastAsia="Arial" w:hAnsi="Arial"/>
        </w:rPr>
        <w:t xml:space="preserve">A search‑engine feature where the engine combines similarity scoring with structured filters (e.g., “embed‑similar AND doc_type = ‘transcript’ AND date ≥ 2023‑01‑01”) in a single index pass rather than fetching candidates and post‑filtering.  Significantly faster on selective filters.</w:t>
      </w:r>
    </w:p>
    <w:p>
      <w:pPr>
        <w:spacing w:after="100" w:line="276"/>
      </w:pPr>
      <w:r>
        <w:rPr>
          <w:rFonts w:ascii="Arial" w:cs="Arial" w:eastAsia="Arial" w:hAnsi="Arial"/>
          <w:b/>
          <w:bCs/>
        </w:rPr>
        <w:t xml:space="preserve">Bates number.  </w:t>
      </w:r>
      <w:r>
        <w:rPr>
          <w:rFonts w:ascii="Arial" w:cs="Arial" w:eastAsia="Arial" w:hAnsi="Arial"/>
        </w:rPr>
        <w:t xml:space="preserve">Sequential identifier stamped on every page of a document produced in discovery, used as the legal citation anchor (e.g., “RESP000247”).</w:t>
      </w:r>
    </w:p>
    <w:p>
      <w:pPr>
        <w:spacing w:after="100" w:line="276"/>
      </w:pPr>
      <w:r>
        <w:rPr>
          <w:rFonts w:ascii="Arial" w:cs="Arial" w:eastAsia="Arial" w:hAnsi="Arial"/>
          <w:b/>
          <w:bCs/>
        </w:rPr>
        <w:t xml:space="preserve">Verbatim / pinpoint citation.  </w:t>
      </w:r>
      <w:r>
        <w:rPr>
          <w:rFonts w:ascii="Arial" w:cs="Arial" w:eastAsia="Arial" w:hAnsi="Arial"/>
        </w:rPr>
        <w:t xml:space="preserve">A citation that identifies the source document and the precise location within it: exhibit number plus page plus paragraph or Bates range; transcript day plus page plus line.</w:t>
      </w:r>
    </w:p>
    <w:p>
      <w:pPr>
        <w:spacing w:after="100" w:line="276"/>
      </w:pPr>
      <w:r>
        <w:rPr>
          <w:rFonts w:ascii="Arial" w:cs="Arial" w:eastAsia="Arial" w:hAnsi="Arial"/>
          <w:b/>
          <w:bCs/>
        </w:rPr>
        <w:t xml:space="preserve">Offset‑anchored extraction.  </w:t>
      </w:r>
      <w:r>
        <w:rPr>
          <w:rFonts w:ascii="Arial" w:cs="Arial" w:eastAsia="Arial" w:hAnsi="Arial"/>
        </w:rPr>
        <w:t xml:space="preserve">The technique used here to guarantee citation honesty: store each chunk’s exact text with its character‑range coordinates; when the model wants to quote, it specifies the chunk and the offset range; the rendering layer pulls the text from the source rather than trusting the model’s output.  Makes misquoting mechanically impossible.</w:t>
      </w:r>
    </w:p>
    <w:p>
      <w:pPr>
        <w:spacing w:after="100" w:line="276"/>
      </w:pPr>
      <w:r>
        <w:rPr>
          <w:rFonts w:ascii="Arial" w:cs="Arial" w:eastAsia="Arial" w:hAnsi="Arial"/>
          <w:b/>
          <w:bCs/>
        </w:rPr>
        <w:t xml:space="preserve">Agentic workflow.  </w:t>
      </w:r>
      <w:r>
        <w:rPr>
          <w:rFonts w:ascii="Arial" w:cs="Arial" w:eastAsia="Arial" w:hAnsi="Arial"/>
        </w:rPr>
        <w:t xml:space="preserve">A multi‑step process where the LLM is given a task, decides which tools to invoke, observes the results, and continues — rather than answering in one shot.  Examples: “build a chronological exhibit index,” “check this witness statement for inconsistencies with the rest of the record.”</w:t>
      </w:r>
    </w:p>
    <w:p>
      <w:pPr>
        <w:spacing w:after="100" w:line="276"/>
      </w:pPr>
      <w:r>
        <w:rPr>
          <w:rFonts w:ascii="Arial" w:cs="Arial" w:eastAsia="Arial" w:hAnsi="Arial"/>
          <w:b/>
          <w:bCs/>
        </w:rPr>
        <w:t xml:space="preserve">Claude Agent SDK.  </w:t>
      </w:r>
      <w:r>
        <w:rPr>
          <w:rFonts w:ascii="Arial" w:cs="Arial" w:eastAsia="Arial" w:hAnsi="Arial"/>
        </w:rPr>
        <w:t xml:space="preserve">Anthropic’s TypeScript framework for building agentic workflows on top of Claude’s tool‑use capability.  Same primitive Mike’s existing chat tools already use — just extended to multi‑step orchestration.</w:t>
      </w:r>
    </w:p>
    <w:p>
      <w:pPr>
        <w:spacing w:after="100" w:line="276"/>
      </w:pPr>
      <w:r>
        <w:rPr>
          <w:rFonts w:ascii="Arial" w:cs="Arial" w:eastAsia="Arial" w:hAnsi="Arial"/>
          <w:b/>
          <w:bCs/>
        </w:rPr>
        <w:t xml:space="preserve">Sonnet / Opus / Haiku.  </w:t>
      </w:r>
      <w:r>
        <w:rPr>
          <w:rFonts w:ascii="Arial" w:cs="Arial" w:eastAsia="Arial" w:hAnsi="Arial"/>
        </w:rPr>
        <w:t xml:space="preserve">Three Claude model tiers, in increasing capability and cost.  Haiku for cheap utility passes (classification, simple extraction); Sonnet for routine synthesis; Opus only for the hardest multi‑hop reasoning.</w:t>
      </w:r>
    </w:p>
    <w:p>
      <w:pPr>
        <w:pStyle w:val="Heading1"/>
        <w:spacing w:after="200" w:before="360"/>
      </w:pPr>
      <w:r>
        <w:rPr>
          <w:rFonts w:ascii="Arial" w:cs="Arial" w:eastAsia="Arial" w:hAnsi="Arial"/>
          <w:b/>
          <w:bCs/>
          <w:sz w:val="32"/>
          <w:szCs w:val="32"/>
        </w:rPr>
        <w:t xml:space="preserve">3.  The problem we are solving</w:t>
      </w:r>
    </w:p>
    <w:p>
      <w:pPr>
        <w:spacing w:after="100" w:line="276"/>
      </w:pPr>
      <w:r>
        <w:rPr>
          <w:rFonts w:ascii="Arial" w:cs="Arial" w:eastAsia="Arial" w:hAnsi="Arial"/>
        </w:rPr>
        <w:t xml:space="preserve">Mike’s current document interaction model assumes the user can hold the relevant document set in their head.  You upload a few files into a project; you ask the chat to read or grep within them.  This is fine for a contract dispute over a handful of agreements.  It collapses for the workload that motivates this project.</w:t>
      </w:r>
    </w:p>
    <w:p>
      <w:pPr>
        <w:pStyle w:val="Heading2"/>
        <w:spacing w:after="140" w:before="280"/>
      </w:pPr>
      <w:r>
        <w:rPr>
          <w:rFonts w:ascii="Arial" w:cs="Arial" w:eastAsia="Arial" w:hAnsi="Arial"/>
          <w:b/>
          <w:bCs/>
          <w:sz w:val="26"/>
          <w:szCs w:val="26"/>
        </w:rPr>
        <w:t xml:space="preserve">3.1  What an arbitration record actually looks like</w:t>
      </w:r>
    </w:p>
    <w:p>
      <w:pPr>
        <w:spacing w:after="100" w:line="276"/>
      </w:pPr>
      <w:r>
        <w:rPr>
          <w:rFonts w:ascii="Arial" w:cs="Arial" w:eastAsia="Arial" w:hAnsi="Arial"/>
        </w:rPr>
        <w:t xml:space="preserve">A single international arbitration record commonly contains:</w:t>
      </w:r>
    </w:p>
    <w:p>
      <w:pPr>
        <w:pStyle w:val="ListParagraph"/>
        <w:numPr>
          <w:ilvl w:val="0"/>
          <w:numId w:val="2"/>
        </w:numPr>
        <w:spacing w:after="60" w:line="276"/>
      </w:pPr>
      <w:r>
        <w:rPr>
          <w:rFonts w:ascii="Arial" w:cs="Arial" w:eastAsia="Arial" w:hAnsi="Arial"/>
        </w:rPr>
        <w:t xml:space="preserve">10–20 pleadings and memorials, each 50–300 pages.</w:t>
      </w:r>
    </w:p>
    <w:p>
      <w:pPr>
        <w:pStyle w:val="ListParagraph"/>
        <w:numPr>
          <w:ilvl w:val="0"/>
          <w:numId w:val="2"/>
        </w:numPr>
        <w:spacing w:after="60" w:line="276"/>
      </w:pPr>
      <w:r>
        <w:rPr>
          <w:rFonts w:ascii="Arial" w:cs="Arial" w:eastAsia="Arial" w:hAnsi="Arial"/>
        </w:rPr>
        <w:t xml:space="preserve">Several thousand exhibits — contracts, correspondence, technical reports, photographs, financial schedules — mostly scanned PDFs.</w:t>
      </w:r>
    </w:p>
    <w:p>
      <w:pPr>
        <w:pStyle w:val="ListParagraph"/>
        <w:numPr>
          <w:ilvl w:val="0"/>
          <w:numId w:val="2"/>
        </w:numPr>
        <w:spacing w:after="60" w:line="276"/>
      </w:pPr>
      <w:r>
        <w:rPr>
          <w:rFonts w:ascii="Arial" w:cs="Arial" w:eastAsia="Arial" w:hAnsi="Arial"/>
        </w:rPr>
        <w:t xml:space="preserve">10–20 days of hearing transcripts at ~250 pages per day.</w:t>
      </w:r>
    </w:p>
    <w:p>
      <w:pPr>
        <w:pStyle w:val="ListParagraph"/>
        <w:numPr>
          <w:ilvl w:val="0"/>
          <w:numId w:val="2"/>
        </w:numPr>
        <w:spacing w:after="60" w:line="276"/>
      </w:pPr>
      <w:r>
        <w:rPr>
          <w:rFonts w:ascii="Arial" w:cs="Arial" w:eastAsia="Arial" w:hAnsi="Arial"/>
        </w:rPr>
        <w:t xml:space="preserve">5–15 expert reports, often 100+ pages each, with appendices.</w:t>
      </w:r>
    </w:p>
    <w:p>
      <w:pPr>
        <w:pStyle w:val="ListParagraph"/>
        <w:numPr>
          <w:ilvl w:val="0"/>
          <w:numId w:val="2"/>
        </w:numPr>
        <w:spacing w:after="60" w:line="276"/>
      </w:pPr>
      <w:r>
        <w:rPr>
          <w:rFonts w:ascii="Arial" w:cs="Arial" w:eastAsia="Arial" w:hAnsi="Arial"/>
        </w:rPr>
        <w:t xml:space="preserve">50–200 cited legal authorities (cases, statutes, treaties, commentary).</w:t>
      </w:r>
    </w:p>
    <w:p>
      <w:pPr>
        <w:pStyle w:val="ListParagraph"/>
        <w:numPr>
          <w:ilvl w:val="0"/>
          <w:numId w:val="2"/>
        </w:numPr>
        <w:spacing w:after="60" w:line="276"/>
      </w:pPr>
      <w:r>
        <w:rPr>
          <w:rFonts w:ascii="Arial" w:cs="Arial" w:eastAsia="Arial" w:hAnsi="Arial"/>
        </w:rPr>
        <w:t xml:space="preserve">Procedural orders, the eventual award, and ancillary correspondence.</w:t>
      </w:r>
    </w:p>
    <w:p>
      <w:pPr>
        <w:spacing w:after="100" w:line="276"/>
      </w:pPr>
      <w:r>
        <w:rPr>
          <w:rFonts w:ascii="Arial" w:cs="Arial" w:eastAsia="Arial" w:hAnsi="Arial"/>
        </w:rPr>
        <w:t xml:space="preserve">A typical full record runs 100,000+ pages and 50 million tokens.  Some run several times that.</w:t>
      </w:r>
    </w:p>
    <w:p>
      <w:pPr>
        <w:pStyle w:val="Heading2"/>
        <w:spacing w:after="140" w:before="280"/>
      </w:pPr>
      <w:r>
        <w:rPr>
          <w:rFonts w:ascii="Arial" w:cs="Arial" w:eastAsia="Arial" w:hAnsi="Arial"/>
          <w:b/>
          <w:bCs/>
          <w:sz w:val="26"/>
          <w:szCs w:val="26"/>
        </w:rPr>
        <w:t xml:space="preserve">3.2  Why long‑context models do not solve this</w:t>
      </w:r>
    </w:p>
    <w:p>
      <w:pPr>
        <w:spacing w:after="100" w:line="276"/>
      </w:pPr>
      <w:r>
        <w:rPr>
          <w:rFonts w:ascii="Arial" w:cs="Arial" w:eastAsia="Arial" w:hAnsi="Arial"/>
        </w:rPr>
        <w:t xml:space="preserve">Two intuitive non‑solutions need to be ruled out before the rest of this document makes sense.</w:t>
      </w:r>
    </w:p>
    <w:p>
      <w:pPr>
        <w:spacing w:after="100" w:line="276"/>
      </w:pPr>
      <w:r>
        <w:rPr>
          <w:rFonts w:ascii="Arial" w:cs="Arial" w:eastAsia="Arial" w:hAnsi="Arial"/>
          <w:b/>
          <w:bCs/>
        </w:rPr>
        <w:t xml:space="preserve">“Just feed the whole thing to Claude.”  </w:t>
      </w:r>
      <w:r>
        <w:rPr>
          <w:rFonts w:ascii="Arial" w:cs="Arial" w:eastAsia="Arial" w:hAnsi="Arial"/>
        </w:rPr>
        <w:t xml:space="preserve">The 200,000‑token context window is about 400 pages.  A 100,000‑page record is 250 times that.  Even if a future model offered a 10× larger window, the record would still be 25× too big.  And context cost scales linearly: a 50‑million‑token prompt at current pricing would be hundreds of dollars per question.</w:t>
      </w:r>
    </w:p>
    <w:p>
      <w:pPr>
        <w:spacing w:after="100" w:line="276"/>
      </w:pPr>
      <w:r>
        <w:rPr>
          <w:rFonts w:ascii="Arial" w:cs="Arial" w:eastAsia="Arial" w:hAnsi="Arial"/>
          <w:b/>
          <w:bCs/>
        </w:rPr>
        <w:t xml:space="preserve">“Just chunk it up and feed pieces.”  </w:t>
      </w:r>
      <w:r>
        <w:rPr>
          <w:rFonts w:ascii="Arial" w:cs="Arial" w:eastAsia="Arial" w:hAnsi="Arial"/>
        </w:rPr>
        <w:t xml:space="preserve">This is the right instinct but begs the question.  How do you choose which pieces to feed?  That is exactly the problem this architecture solves: an indexing pipeline that lets a query find the right ~20 chunks out of two hundred thousand, in a fraction of a second, with structured citations back to the source.</w:t>
      </w:r>
    </w:p>
    <w:p>
      <w:pPr>
        <w:pStyle w:val="Heading2"/>
        <w:spacing w:after="140" w:before="280"/>
      </w:pPr>
      <w:r>
        <w:rPr>
          <w:rFonts w:ascii="Arial" w:cs="Arial" w:eastAsia="Arial" w:hAnsi="Arial"/>
          <w:b/>
          <w:bCs/>
          <w:sz w:val="26"/>
          <w:szCs w:val="26"/>
        </w:rPr>
        <w:t xml:space="preserve">3.3  Why citation integrity is non‑negotiable</w:t>
      </w:r>
    </w:p>
    <w:p>
      <w:pPr>
        <w:spacing w:after="100" w:line="276"/>
      </w:pPr>
      <w:r>
        <w:rPr>
          <w:rFonts w:ascii="Arial" w:cs="Arial" w:eastAsia="Arial" w:hAnsi="Arial"/>
        </w:rPr>
        <w:t xml:space="preserve">In arbitration, an LLM that fabricates a quote, attributes a quote to the wrong document, or paraphrases a verbatim citation is worse than no LLM at all.  Tribunals and opposing counsel verify quotes.  A single misquoted passage in a brief is a credibility incident that follows you for the rest of the matter.</w:t>
      </w:r>
    </w:p>
    <w:p>
      <w:pPr>
        <w:spacing w:after="100" w:line="276"/>
      </w:pPr>
      <w:r>
        <w:rPr>
          <w:rFonts w:ascii="Arial" w:cs="Arial" w:eastAsia="Arial" w:hAnsi="Arial"/>
        </w:rPr>
        <w:t xml:space="preserve">This is why the architecture treats citation integrity as a load‑bearing engineering requirement, not a polish item.  See §5.6 for the specific mechanism.</w:t>
      </w:r>
    </w:p>
    <w:p>
      <w:pPr>
        <w:pStyle w:val="Heading1"/>
        <w:spacing w:after="200" w:before="360"/>
      </w:pPr>
      <w:r>
        <w:rPr>
          <w:rFonts w:ascii="Arial" w:cs="Arial" w:eastAsia="Arial" w:hAnsi="Arial"/>
          <w:b/>
          <w:bCs/>
          <w:sz w:val="32"/>
          <w:szCs w:val="32"/>
        </w:rPr>
        <w:t xml:space="preserve">4.  How the system will work (plain English)</w:t>
      </w:r>
    </w:p>
    <w:p>
      <w:pPr>
        <w:spacing w:after="100" w:line="276"/>
      </w:pPr>
      <w:r>
        <w:rPr>
          <w:rFonts w:ascii="Arial" w:cs="Arial" w:eastAsia="Arial" w:hAnsi="Arial"/>
        </w:rPr>
        <w:t xml:space="preserve">The user‑visible behavior is straightforward.  The internals decompose into a pipeline that runs in the background after upload, plus a query path that runs when you ask a question.</w:t>
      </w:r>
    </w:p>
    <w:p>
      <w:pPr>
        <w:pStyle w:val="Heading2"/>
        <w:spacing w:after="140" w:before="280"/>
      </w:pPr>
      <w:r>
        <w:rPr>
          <w:rFonts w:ascii="Arial" w:cs="Arial" w:eastAsia="Arial" w:hAnsi="Arial"/>
          <w:b/>
          <w:bCs/>
          <w:sz w:val="26"/>
          <w:szCs w:val="26"/>
        </w:rPr>
        <w:t xml:space="preserve">4.1  Ingest pipeline (runs once per uploaded document, in the background)</w:t>
      </w:r>
    </w:p>
    <w:p>
      <w:pPr>
        <w:pStyle w:val="ListParagraph"/>
        <w:numPr>
          <w:ilvl w:val="0"/>
          <w:numId w:val="3"/>
        </w:numPr>
        <w:spacing w:after="60" w:line="276"/>
      </w:pPr>
      <w:r>
        <w:rPr>
          <w:rFonts w:ascii="Arial" w:cs="Arial" w:eastAsia="Arial" w:hAnsi="Arial"/>
          <w:b/>
          <w:bCs/>
        </w:rPr>
        <w:t xml:space="preserve">Extract text from each page.  </w:t>
      </w:r>
      <w:r>
        <w:rPr>
          <w:rFonts w:ascii="Arial" w:cs="Arial" w:eastAsia="Arial" w:hAnsi="Arial"/>
        </w:rPr>
        <w:t xml:space="preserve">For scanned PDFs, this means running OCR with layout preservation, so columns, tables, and reading order survive.  For born‑digital PDFs and DOCX, the text is already extractable.</w:t>
      </w:r>
    </w:p>
    <w:p>
      <w:pPr>
        <w:pStyle w:val="ListParagraph"/>
        <w:numPr>
          <w:ilvl w:val="0"/>
          <w:numId w:val="3"/>
        </w:numPr>
        <w:spacing w:after="60" w:line="276"/>
      </w:pPr>
      <w:r>
        <w:rPr>
          <w:rFonts w:ascii="Arial" w:cs="Arial" w:eastAsia="Arial" w:hAnsi="Arial"/>
          <w:b/>
          <w:bCs/>
        </w:rPr>
        <w:t xml:space="preserve">Classify the document.  </w:t>
      </w:r>
      <w:r>
        <w:rPr>
          <w:rFonts w:ascii="Arial" w:cs="Arial" w:eastAsia="Arial" w:hAnsi="Arial"/>
        </w:rPr>
        <w:t xml:space="preserve">A small language‑model call (Haiku) reads the first page or two and tags the document: pleading, exhibit, transcript, witness statement, expert report, authority, correspondence, etc.  This is what lets the rest of the pipeline route by type.</w:t>
      </w:r>
    </w:p>
    <w:p>
      <w:pPr>
        <w:pStyle w:val="ListParagraph"/>
        <w:numPr>
          <w:ilvl w:val="0"/>
          <w:numId w:val="3"/>
        </w:numPr>
        <w:spacing w:after="60" w:line="276"/>
      </w:pPr>
      <w:r>
        <w:rPr>
          <w:rFonts w:ascii="Arial" w:cs="Arial" w:eastAsia="Arial" w:hAnsi="Arial"/>
          <w:b/>
          <w:bCs/>
        </w:rPr>
        <w:t xml:space="preserve">Pull metadata.  </w:t>
      </w:r>
      <w:r>
        <w:rPr>
          <w:rFonts w:ascii="Arial" w:cs="Arial" w:eastAsia="Arial" w:hAnsi="Arial"/>
        </w:rPr>
        <w:t xml:space="preserve">The same model call extracts party names, date, exhibit number, jurisdiction, and key entities into a structured row — the kind of fields a lawyer would write on a case‑summary sheet.</w:t>
      </w:r>
    </w:p>
    <w:p>
      <w:pPr>
        <w:pStyle w:val="ListParagraph"/>
        <w:numPr>
          <w:ilvl w:val="0"/>
          <w:numId w:val="3"/>
        </w:numPr>
        <w:spacing w:after="60" w:line="276"/>
      </w:pPr>
      <w:r>
        <w:rPr>
          <w:rFonts w:ascii="Arial" w:cs="Arial" w:eastAsia="Arial" w:hAnsi="Arial"/>
          <w:b/>
          <w:bCs/>
        </w:rPr>
        <w:t xml:space="preserve">Chunk the text.  </w:t>
      </w:r>
      <w:r>
        <w:rPr>
          <w:rFonts w:ascii="Arial" w:cs="Arial" w:eastAsia="Arial" w:hAnsi="Arial"/>
        </w:rPr>
        <w:t xml:space="preserve">Split the document into retrievable passages.  Critically, the split rules depend on the document type: pleadings split per numbered paragraph (¶ 47); transcripts split per Q‑A pair with day/page/line preserved; generic exhibits use a 256‑token small‑to‑big strategy.  Each chunk carries its precise location.</w:t>
      </w:r>
    </w:p>
    <w:p>
      <w:pPr>
        <w:pStyle w:val="ListParagraph"/>
        <w:numPr>
          <w:ilvl w:val="0"/>
          <w:numId w:val="3"/>
        </w:numPr>
        <w:spacing w:after="60" w:line="276"/>
      </w:pPr>
      <w:r>
        <w:rPr>
          <w:rFonts w:ascii="Arial" w:cs="Arial" w:eastAsia="Arial" w:hAnsi="Arial"/>
          <w:b/>
          <w:bCs/>
        </w:rPr>
        <w:t xml:space="preserve">Embed.  </w:t>
      </w:r>
      <w:r>
        <w:rPr>
          <w:rFonts w:ascii="Arial" w:cs="Arial" w:eastAsia="Arial" w:hAnsi="Arial"/>
        </w:rPr>
        <w:t xml:space="preserve">Each chunk is sent through Voyage’s legal embedding model and comes back as a 1,024‑number fingerprint.</w:t>
      </w:r>
    </w:p>
    <w:p>
      <w:pPr>
        <w:pStyle w:val="ListParagraph"/>
        <w:numPr>
          <w:ilvl w:val="0"/>
          <w:numId w:val="3"/>
        </w:numPr>
        <w:spacing w:after="60" w:line="276"/>
      </w:pPr>
      <w:r>
        <w:rPr>
          <w:rFonts w:ascii="Arial" w:cs="Arial" w:eastAsia="Arial" w:hAnsi="Arial"/>
          <w:b/>
          <w:bCs/>
        </w:rPr>
        <w:t xml:space="preserve">Index.  </w:t>
      </w:r>
      <w:r>
        <w:rPr>
          <w:rFonts w:ascii="Arial" w:cs="Arial" w:eastAsia="Arial" w:hAnsi="Arial"/>
        </w:rPr>
        <w:t xml:space="preserve">The chunk text plus its fingerprint plus its metadata go into Turbopuffer, in the namespace for this matter.  When that succeeds, the document’s status flips to “ready” and it becomes queryable.</w:t>
      </w:r>
    </w:p>
    <w:p>
      <w:pPr>
        <w:spacing w:after="100" w:line="276"/>
      </w:pPr>
      <w:r>
        <w:rPr>
          <w:rFonts w:ascii="Arial" w:cs="Arial" w:eastAsia="Arial" w:hAnsi="Arial"/>
        </w:rPr>
        <w:t xml:space="preserve">Wall‑clock estimate for ingesting a fresh 100,000‑page matter: 6–12 hours, parallelized.  Operationally this is a “upload Friday evening, query Saturday morning” experience.  Not interactive.</w:t>
      </w:r>
    </w:p>
    <w:p>
      <w:pPr>
        <w:pStyle w:val="Heading2"/>
        <w:spacing w:after="140" w:before="280"/>
      </w:pPr>
      <w:r>
        <w:rPr>
          <w:rFonts w:ascii="Arial" w:cs="Arial" w:eastAsia="Arial" w:hAnsi="Arial"/>
          <w:b/>
          <w:bCs/>
          <w:sz w:val="26"/>
          <w:szCs w:val="26"/>
        </w:rPr>
        <w:t xml:space="preserve">4.2  Query path (runs each time the user asks a question)</w:t>
      </w:r>
    </w:p>
    <w:p>
      <w:pPr>
        <w:pStyle w:val="ListParagraph"/>
        <w:numPr>
          <w:ilvl w:val="0"/>
          <w:numId w:val="4"/>
        </w:numPr>
        <w:spacing w:after="60" w:line="276"/>
      </w:pPr>
      <w:r>
        <w:rPr>
          <w:rFonts w:ascii="Arial" w:cs="Arial" w:eastAsia="Arial" w:hAnsi="Arial"/>
          <w:b/>
          <w:bCs/>
        </w:rPr>
        <w:t xml:space="preserve">Rewrite the question into a retrieval plan.  </w:t>
      </w:r>
      <w:r>
        <w:rPr>
          <w:rFonts w:ascii="Arial" w:cs="Arial" w:eastAsia="Arial" w:hAnsi="Arial"/>
        </w:rPr>
        <w:t xml:space="preserve">Haiku takes the natural‑language question and outputs a structured query: what to embed‑search for, which structured filters to apply (e.g., “transcripts only,” “date after 2022”), how many candidates to consider.</w:t>
      </w:r>
    </w:p>
    <w:p>
      <w:pPr>
        <w:pStyle w:val="ListParagraph"/>
        <w:numPr>
          <w:ilvl w:val="0"/>
          <w:numId w:val="4"/>
        </w:numPr>
        <w:spacing w:after="60" w:line="276"/>
      </w:pPr>
      <w:r>
        <w:rPr>
          <w:rFonts w:ascii="Arial" w:cs="Arial" w:eastAsia="Arial" w:hAnsi="Arial"/>
          <w:b/>
          <w:bCs/>
        </w:rPr>
        <w:t xml:space="preserve">Search.  </w:t>
      </w:r>
      <w:r>
        <w:rPr>
          <w:rFonts w:ascii="Arial" w:cs="Arial" w:eastAsia="Arial" w:hAnsi="Arial"/>
        </w:rPr>
        <w:t xml:space="preserve">The vector store returns the top ~50 chunks by similarity, scoped to this matter’s namespace and filtered by any structured constraints from step 1.  (Version 1.5 adds keyword/BM25 results in parallel and fuses them — “hybrid search.”)</w:t>
      </w:r>
    </w:p>
    <w:p>
      <w:pPr>
        <w:pStyle w:val="ListParagraph"/>
        <w:numPr>
          <w:ilvl w:val="0"/>
          <w:numId w:val="4"/>
        </w:numPr>
        <w:spacing w:after="60" w:line="276"/>
      </w:pPr>
      <w:r>
        <w:rPr>
          <w:rFonts w:ascii="Arial" w:cs="Arial" w:eastAsia="Arial" w:hAnsi="Arial"/>
          <w:b/>
          <w:bCs/>
        </w:rPr>
        <w:t xml:space="preserve">Rerank.  </w:t>
      </w:r>
      <w:r>
        <w:rPr>
          <w:rFonts w:ascii="Arial" w:cs="Arial" w:eastAsia="Arial" w:hAnsi="Arial"/>
        </w:rPr>
        <w:t xml:space="preserve">(v1.5)  Voyage’s rerank model re‑scores those 50 candidates by reading the query and each candidate together.  Keep the top 10–15.</w:t>
      </w:r>
    </w:p>
    <w:p>
      <w:pPr>
        <w:pStyle w:val="ListParagraph"/>
        <w:numPr>
          <w:ilvl w:val="0"/>
          <w:numId w:val="4"/>
        </w:numPr>
        <w:spacing w:after="60" w:line="276"/>
      </w:pPr>
      <w:r>
        <w:rPr>
          <w:rFonts w:ascii="Arial" w:cs="Arial" w:eastAsia="Arial" w:hAnsi="Arial"/>
          <w:b/>
          <w:bCs/>
        </w:rPr>
        <w:t xml:space="preserve">Expand the context.  </w:t>
      </w:r>
      <w:r>
        <w:rPr>
          <w:rFonts w:ascii="Arial" w:cs="Arial" w:eastAsia="Arial" w:hAnsi="Arial"/>
        </w:rPr>
        <w:t xml:space="preserve">For each surviving chunk, pull in the surrounding parent section so the synthesis model sees enough context to ground an answer.</w:t>
      </w:r>
    </w:p>
    <w:p>
      <w:pPr>
        <w:pStyle w:val="ListParagraph"/>
        <w:numPr>
          <w:ilvl w:val="0"/>
          <w:numId w:val="4"/>
        </w:numPr>
        <w:spacing w:after="60" w:line="276"/>
      </w:pPr>
      <w:r>
        <w:rPr>
          <w:rFonts w:ascii="Arial" w:cs="Arial" w:eastAsia="Arial" w:hAnsi="Arial"/>
          <w:b/>
          <w:bCs/>
        </w:rPr>
        <w:t xml:space="preserve">Synthesize.  </w:t>
      </w:r>
      <w:r>
        <w:rPr>
          <w:rFonts w:ascii="Arial" w:cs="Arial" w:eastAsia="Arial" w:hAnsi="Arial"/>
        </w:rPr>
        <w:t xml:space="preserve">Claude (Sonnet by default, Opus for multi‑hop) composes the answer.  The output schema requires that every factual claim attach to at least one chunk id, and that quoted passages be marked as quotes with offset ranges into source chunks.</w:t>
      </w:r>
    </w:p>
    <w:p>
      <w:pPr>
        <w:pStyle w:val="ListParagraph"/>
        <w:numPr>
          <w:ilvl w:val="0"/>
          <w:numId w:val="4"/>
        </w:numPr>
        <w:spacing w:after="60" w:line="276"/>
      </w:pPr>
      <w:r>
        <w:rPr>
          <w:rFonts w:ascii="Arial" w:cs="Arial" w:eastAsia="Arial" w:hAnsi="Arial"/>
          <w:b/>
          <w:bCs/>
        </w:rPr>
        <w:t xml:space="preserve">Render citations.  </w:t>
      </w:r>
      <w:r>
        <w:rPr>
          <w:rFonts w:ascii="Arial" w:cs="Arial" w:eastAsia="Arial" w:hAnsi="Arial"/>
        </w:rPr>
        <w:t xml:space="preserve">The rendering layer reads each quote span’s text directly from the source chunk rather than trusting the model’s output.  Citations in the chat become clickable links that open the document viewer at the right page with the span highlighted.</w:t>
      </w:r>
    </w:p>
    <w:p>
      <w:pPr>
        <w:spacing w:after="100" w:line="276"/>
      </w:pPr>
      <w:r>
        <w:rPr>
          <w:rFonts w:ascii="Arial" w:cs="Arial" w:eastAsia="Arial" w:hAnsi="Arial"/>
        </w:rPr>
        <w:t xml:space="preserve">Steady‑state query latency target: median under 5 seconds for vector‑only retrieval; under 8 seconds with the rerank pass.  Synthesis time dominates.</w:t>
      </w:r>
    </w:p>
    <w:p>
      <w:pPr>
        <w:pStyle w:val="Heading1"/>
        <w:spacing w:after="200" w:before="360"/>
      </w:pPr>
      <w:r>
        <w:rPr>
          <w:rFonts w:ascii="Arial" w:cs="Arial" w:eastAsia="Arial" w:hAnsi="Arial"/>
          <w:b/>
          <w:bCs/>
          <w:sz w:val="32"/>
          <w:szCs w:val="32"/>
        </w:rPr>
        <w:t xml:space="preserve">5.  Architecture decisions and why</w:t>
      </w:r>
    </w:p>
    <w:p>
      <w:pPr>
        <w:spacing w:after="100" w:line="276"/>
      </w:pPr>
      <w:r>
        <w:rPr>
          <w:rFonts w:ascii="Arial" w:cs="Arial" w:eastAsia="Arial" w:hAnsi="Arial"/>
        </w:rPr>
        <w:t xml:space="preserve">Eight major choices.  Each is one paragraph: the pick, what was considered and rejected, and the load‑bearing reason.</w:t>
      </w:r>
    </w:p>
    <w:p>
      <w:pPr>
        <w:pStyle w:val="Heading2"/>
        <w:spacing w:after="140" w:before="280"/>
      </w:pPr>
      <w:r>
        <w:rPr>
          <w:rFonts w:ascii="Arial" w:cs="Arial" w:eastAsia="Arial" w:hAnsi="Arial"/>
          <w:b/>
          <w:bCs/>
          <w:sz w:val="26"/>
          <w:szCs w:val="26"/>
        </w:rPr>
        <w:t xml:space="preserve">5.1  Vector store — Turbopuffer over pgvector</w:t>
      </w:r>
    </w:p>
    <w:p>
      <w:pPr>
        <w:spacing w:after="100" w:line="276"/>
      </w:pPr>
      <w:r>
        <w:rPr>
          <w:rFonts w:ascii="Arial" w:cs="Arial" w:eastAsia="Arial" w:hAnsi="Arial"/>
          <w:b/>
          <w:bCs/>
        </w:rPr>
        <w:t xml:space="preserve">Pick Turbopuffer </w:t>
      </w:r>
      <w:r>
        <w:rPr>
          <w:rFonts w:ascii="Arial" w:cs="Arial" w:eastAsia="Arial" w:hAnsi="Arial"/>
        </w:rPr>
        <w:t xml:space="preserve">(a managed vector database queried over its API) rather than retrofitting the existing Railway Postgres with the pgvector extension.  Turbopuffer offers native hybrid search, per‑matter namespaces, and tiered storage (hot matters on NVMe, dormant matters on S3) out of the box.  pgvector would require swapping the Railway Postgres image and would still leave us building hybrid search and tenant isolation in application code.  The “start with pgvector and migrate later” plan looks cheap until you realize migration means re‑ingesting OCR’d chunks and rebuilding hybrid plumbing — days of work that the clean‑slate state of the current database (one document total) makes essentially free to avoid.</w:t>
      </w:r>
    </w:p>
    <w:p>
      <w:pPr>
        <w:pStyle w:val="Heading2"/>
        <w:spacing w:after="140" w:before="280"/>
      </w:pPr>
      <w:r>
        <w:rPr>
          <w:rFonts w:ascii="Arial" w:cs="Arial" w:eastAsia="Arial" w:hAnsi="Arial"/>
          <w:b/>
          <w:bCs/>
          <w:sz w:val="26"/>
          <w:szCs w:val="26"/>
        </w:rPr>
        <w:t xml:space="preserve">5.2  OCR — Google Document AI Layout Parser, with Reducto for table‑heavy pages</w:t>
      </w:r>
    </w:p>
    <w:p>
      <w:pPr>
        <w:spacing w:after="100" w:line="276"/>
      </w:pPr>
      <w:r>
        <w:rPr>
          <w:rFonts w:ascii="Arial" w:cs="Arial" w:eastAsia="Arial" w:hAnsi="Arial"/>
          <w:b/>
          <w:bCs/>
        </w:rPr>
        <w:t xml:space="preserve">Pick Document AI Layout Parser </w:t>
      </w:r>
      <w:r>
        <w:rPr>
          <w:rFonts w:ascii="Arial" w:cs="Arial" w:eastAsia="Arial" w:hAnsi="Arial"/>
        </w:rPr>
        <w:t xml:space="preserve">($10/1,000 pages) as the default OCR engine; Reducto ($10–$30/1,000 pages, on flagged pages only) as escalation for pages where structure confidence is low or table density is high.  AWS Textract is rejected as default (stronger on handwriting but weaker on multi‑column legal layouts).  Text‑only OCR ($1.50/1,000 pages) is much cheaper but mangles every table — acceptable for prose‑heavy matters, not as default.  Open‑source Tesseract is unacceptable quality on scanned legal documents.  Important cost note: the original proposal’s $150–$300 OCR estimate assumed text‑only; honest budgeting at the quality the workload requires is closer to $1,000 per arbitration.</w:t>
      </w:r>
    </w:p>
    <w:p>
      <w:pPr>
        <w:pStyle w:val="Heading2"/>
        <w:spacing w:after="140" w:before="280"/>
      </w:pPr>
      <w:r>
        <w:rPr>
          <w:rFonts w:ascii="Arial" w:cs="Arial" w:eastAsia="Arial" w:hAnsi="Arial"/>
          <w:b/>
          <w:bCs/>
          <w:sz w:val="26"/>
          <w:szCs w:val="26"/>
        </w:rPr>
        <w:t xml:space="preserve">5.3  Embedding model — Voyage voyage‑law‑2</w:t>
      </w:r>
    </w:p>
    <w:p>
      <w:pPr>
        <w:spacing w:after="100" w:line="276"/>
      </w:pPr>
      <w:r>
        <w:rPr>
          <w:rFonts w:ascii="Arial" w:cs="Arial" w:eastAsia="Arial" w:hAnsi="Arial"/>
          <w:b/>
          <w:bCs/>
        </w:rPr>
        <w:t xml:space="preserve">Pick Voyage “voyage‑law‑2,” </w:t>
      </w:r>
      <w:r>
        <w:rPr>
          <w:rFonts w:ascii="Arial" w:cs="Arial" w:eastAsia="Arial" w:hAnsi="Arial"/>
        </w:rPr>
        <w:t xml:space="preserve">a 1,024‑dimensional model trained on legal corpora, over OpenAI text‑embedding‑3 (generic; weaker on legal terminology) or self‑hosted open‑source models (operational cost without a quality win at this volume).  Legal training matters more than people expect — a generic embedder confuses “notice” the contract term with “notice” the verb, and conflates “force majeure” with unrelated phrases that share surface tokens.  Voyage is also owned by Anthropic, so the Voyage + Claude stack is one billing relationship and one SLA tier.</w:t>
      </w:r>
    </w:p>
    <w:p>
      <w:pPr>
        <w:pStyle w:val="Heading2"/>
        <w:spacing w:after="140" w:before="280"/>
      </w:pPr>
      <w:r>
        <w:rPr>
          <w:rFonts w:ascii="Arial" w:cs="Arial" w:eastAsia="Arial" w:hAnsi="Arial"/>
          <w:b/>
          <w:bCs/>
          <w:sz w:val="26"/>
          <w:szCs w:val="26"/>
        </w:rPr>
        <w:t xml:space="preserve">5.4  Reranker — Voyage rerank‑2.5 (v1.5)</w:t>
      </w:r>
    </w:p>
    <w:p>
      <w:pPr>
        <w:spacing w:after="100" w:line="276"/>
      </w:pPr>
      <w:r>
        <w:rPr>
          <w:rFonts w:ascii="Arial" w:cs="Arial" w:eastAsia="Arial" w:hAnsi="Arial"/>
          <w:b/>
          <w:bCs/>
        </w:rPr>
        <w:t xml:space="preserve">Pick Voyage rerank‑2.5, </w:t>
      </w:r>
      <w:r>
        <w:rPr>
          <w:rFonts w:ascii="Arial" w:cs="Arial" w:eastAsia="Arial" w:hAnsi="Arial"/>
        </w:rPr>
        <w:t xml:space="preserve">activated in v1.5, over Cohere Rerank 3.5 (excellent quality but adds another vendor) or open‑source rerankers (operational weight, no obvious benefit at this scale).  Reranker quality differences between top vendors are small; the deciding factor is operational simplicity, and using the same vendor as the embedding model and the synthesis LLM keeps the integration surface small.</w:t>
      </w:r>
    </w:p>
    <w:p>
      <w:pPr>
        <w:pStyle w:val="Heading2"/>
        <w:spacing w:after="140" w:before="280"/>
      </w:pPr>
      <w:r>
        <w:rPr>
          <w:rFonts w:ascii="Arial" w:cs="Arial" w:eastAsia="Arial" w:hAnsi="Arial"/>
          <w:b/>
          <w:bCs/>
          <w:sz w:val="26"/>
          <w:szCs w:val="26"/>
        </w:rPr>
        <w:t xml:space="preserve">5.5  Chunking strategy — document‑type‑aware</w:t>
      </w:r>
    </w:p>
    <w:p>
      <w:pPr>
        <w:spacing w:after="100" w:line="276"/>
      </w:pPr>
      <w:r>
        <w:rPr>
          <w:rFonts w:ascii="Arial" w:cs="Arial" w:eastAsia="Arial" w:hAnsi="Arial"/>
          <w:b/>
          <w:bCs/>
        </w:rPr>
        <w:t xml:space="preserve">Pick document‑type‑aware chunking </w:t>
      </w:r>
      <w:r>
        <w:rPr>
          <w:rFonts w:ascii="Arial" w:cs="Arial" w:eastAsia="Arial" w:hAnsi="Arial"/>
        </w:rPr>
        <w:t xml:space="preserve">over uniform 256‑token chunking.  Pleadings and witness statements split per numbered paragraph; transcripts split per Q‑A pair with day/page/line preserved; generic exhibits use small‑to‑big (small chunk for retrieval precision, expanded parent section returned for synthesis context).  Citation in arbitration is paragraph‑ and line‑precise — “Cl. Memorial ¶ 47,” not “page 23 chunk 4” — and chunking transcripts by token count loses the day/page/line anchor that makes a transcript citation usable in tribunal.  More work in the ingest pipeline, but the difference between citations a lawyer trusts and citations a lawyer manually verifies every time.</w:t>
      </w:r>
    </w:p>
    <w:p>
      <w:pPr>
        <w:pStyle w:val="Heading2"/>
        <w:spacing w:after="140" w:before="280"/>
      </w:pPr>
      <w:r>
        <w:rPr>
          <w:rFonts w:ascii="Arial" w:cs="Arial" w:eastAsia="Arial" w:hAnsi="Arial"/>
          <w:b/>
          <w:bCs/>
          <w:sz w:val="26"/>
          <w:szCs w:val="26"/>
        </w:rPr>
        <w:t xml:space="preserve">5.6  Citation integrity — offset‑anchored extraction</w:t>
      </w:r>
    </w:p>
    <w:p>
      <w:pPr>
        <w:spacing w:after="100" w:line="276"/>
      </w:pPr>
      <w:r>
        <w:rPr>
          <w:rFonts w:ascii="Arial" w:cs="Arial" w:eastAsia="Arial" w:hAnsi="Arial"/>
          <w:b/>
          <w:bCs/>
        </w:rPr>
        <w:t xml:space="preserve">Pick offset‑anchored extraction </w:t>
      </w:r>
      <w:r>
        <w:rPr>
          <w:rFonts w:ascii="Arial" w:cs="Arial" w:eastAsia="Arial" w:hAnsi="Arial"/>
        </w:rPr>
        <w:t xml:space="preserve">over post‑hoc character‑match verification.  The synthesis model emits a structured output identifying each quoted span by chunk id plus character offset range; the rendering layer pulls the actual text from the source chunk and ignores the model’s rendered “quote text.”  Even with strict prompting and matching, LLMs occasionally normalize whitespace, swap quote characters, or “fix” perceived typos — exactly the failure mode that surfaces in front of a tribunal.  Offset anchoring makes hallucinated‑quote failures mechanically impossible: the model picks which span to quote; the quoted text always comes from the source file.</w:t>
      </w:r>
    </w:p>
    <w:p>
      <w:pPr>
        <w:pStyle w:val="Heading2"/>
        <w:spacing w:after="140" w:before="280"/>
      </w:pPr>
      <w:r>
        <w:rPr>
          <w:rFonts w:ascii="Arial" w:cs="Arial" w:eastAsia="Arial" w:hAnsi="Arial"/>
          <w:b/>
          <w:bCs/>
          <w:sz w:val="26"/>
          <w:szCs w:val="26"/>
        </w:rPr>
        <w:t xml:space="preserve">5.7  Multi‑tenant isolation — per‑matter namespaces plus enforced project_id scoping</w:t>
      </w:r>
    </w:p>
    <w:p>
      <w:pPr>
        <w:spacing w:after="100" w:line="276"/>
      </w:pPr>
      <w:r>
        <w:rPr>
          <w:rFonts w:ascii="Arial" w:cs="Arial" w:eastAsia="Arial" w:hAnsi="Arial"/>
          <w:b/>
          <w:bCs/>
        </w:rPr>
        <w:t xml:space="preserve">Pick per‑matter Turbopuffer namespaces </w:t>
      </w:r>
      <w:r>
        <w:rPr>
          <w:rFonts w:ascii="Arial" w:cs="Arial" w:eastAsia="Arial" w:hAnsi="Arial"/>
        </w:rPr>
        <w:t xml:space="preserve">plus denormalized project_id on every chunk row in Postgres, plus a cross‑project leakage test in CI.  Rejected: single shared namespace with application‑only filtering (acceptable but weaker); separate physical database per matter (formal ethical‑wall isolation, but heavy operationally).  Per‑matter namespaces give strong isolation without operational overhead.  Formal ethical‑wall guarantees (per‑matter encryption keys, full physical isolation) defer cleanly to v2 if the product later hosts multiple firms or formally conflicted matters.</w:t>
      </w:r>
    </w:p>
    <w:p>
      <w:pPr>
        <w:pStyle w:val="Heading2"/>
        <w:spacing w:after="140" w:before="280"/>
      </w:pPr>
      <w:r>
        <w:rPr>
          <w:rFonts w:ascii="Arial" w:cs="Arial" w:eastAsia="Arial" w:hAnsi="Arial"/>
          <w:b/>
          <w:bCs/>
          <w:sz w:val="26"/>
          <w:szCs w:val="26"/>
        </w:rPr>
        <w:t xml:space="preserve">5.8  Workflow framework — Claude Agent SDK</w:t>
      </w:r>
    </w:p>
    <w:p>
      <w:pPr>
        <w:spacing w:after="100" w:line="276"/>
      </w:pPr>
      <w:r>
        <w:rPr>
          <w:rFonts w:ascii="Arial" w:cs="Arial" w:eastAsia="Arial" w:hAnsi="Arial"/>
          <w:b/>
          <w:bCs/>
        </w:rPr>
        <w:t xml:space="preserve">Pick the Claude Agent SDK </w:t>
      </w:r>
      <w:r>
        <w:rPr>
          <w:rFonts w:ascii="Arial" w:cs="Arial" w:eastAsia="Arial" w:hAnsi="Arial"/>
        </w:rPr>
        <w:t xml:space="preserve">(TypeScript) for the agentic workflow layer; first workflow deferred to v1.5.  LangGraph is rejected (Python‑native, framework weight that does not fit this stack); homegrown orchestration is rejected (no reason to invent what the SDK already does).  Mike already runs Claude’s tool‑use loop heavily in chatTools.ts — the Agent SDK is the natural extension of that primitive: same vendor, same TypeScript stack, designed for exactly the multi‑step orchestration we want to add.</w:t>
      </w:r>
    </w:p>
    <w:p>
      <w:pPr>
        <w:pStyle w:val="Heading1"/>
        <w:spacing w:after="200" w:before="360"/>
      </w:pPr>
      <w:r>
        <w:rPr>
          <w:rFonts w:ascii="Arial" w:cs="Arial" w:eastAsia="Arial" w:hAnsi="Arial"/>
          <w:b/>
          <w:bCs/>
          <w:sz w:val="32"/>
          <w:szCs w:val="32"/>
        </w:rPr>
        <w:t xml:space="preserve">6.  What ships in v1 vs.  what is deferred</w:t>
      </w:r>
    </w:p>
    <w:p>
      <w:pPr>
        <w:spacing w:after="100" w:line="276"/>
      </w:pPr>
      <w:r>
        <w:rPr>
          <w:rFonts w:ascii="Arial" w:cs="Arial" w:eastAsia="Arial" w:hAnsi="Arial"/>
        </w:rPr>
        <w:t xml:space="preserve">The original proposal listed seven layers.  Shipping all seven before validating on a real arbitration is a recipe for building the wrong thing in three places at once.  The scope discipline below ships the smallest system that genuinely answers the question “does this work,” then earns the right to add the rest.</w:t>
      </w:r>
    </w:p>
    <w:p>
      <w:pPr>
        <w:pStyle w:val="Heading2"/>
        <w:spacing w:after="140" w:before="280"/>
      </w:pPr>
      <w:r>
        <w:rPr>
          <w:rFonts w:ascii="Arial" w:cs="Arial" w:eastAsia="Arial" w:hAnsi="Arial"/>
          <w:b/>
          <w:bCs/>
          <w:sz w:val="26"/>
          <w:szCs w:val="26"/>
        </w:rPr>
        <w:t xml:space="preserve">6.1  In v1 (calendar weeks 1–7)</w:t>
      </w:r>
    </w:p>
    <w:p>
      <w:pPr>
        <w:pStyle w:val="ListParagraph"/>
        <w:numPr>
          <w:ilvl w:val="0"/>
          <w:numId w:val="2"/>
        </w:numPr>
        <w:spacing w:after="60" w:line="276"/>
      </w:pPr>
      <w:r>
        <w:rPr>
          <w:rFonts w:ascii="Arial" w:cs="Arial" w:eastAsia="Arial" w:hAnsi="Arial"/>
          <w:b/>
          <w:bCs/>
        </w:rPr>
        <w:t xml:space="preserve">L1 — Ingestion: </w:t>
      </w:r>
      <w:r>
        <w:rPr>
          <w:rFonts w:ascii="Arial" w:cs="Arial" w:eastAsia="Arial" w:hAnsi="Arial"/>
        </w:rPr>
        <w:t xml:space="preserve">OCR via Document AI, type classification, metadata extraction, document‑type‑aware chunking.</w:t>
      </w:r>
    </w:p>
    <w:p>
      <w:pPr>
        <w:pStyle w:val="ListParagraph"/>
        <w:numPr>
          <w:ilvl w:val="0"/>
          <w:numId w:val="2"/>
        </w:numPr>
        <w:spacing w:after="60" w:line="276"/>
      </w:pPr>
      <w:r>
        <w:rPr>
          <w:rFonts w:ascii="Arial" w:cs="Arial" w:eastAsia="Arial" w:hAnsi="Arial"/>
          <w:b/>
          <w:bCs/>
        </w:rPr>
        <w:t xml:space="preserve">L2 — Chunking: </w:t>
      </w:r>
      <w:r>
        <w:rPr>
          <w:rFonts w:ascii="Arial" w:cs="Arial" w:eastAsia="Arial" w:hAnsi="Arial"/>
        </w:rPr>
        <w:t xml:space="preserve">As above; small‑to‑big fallback for unknown‑type documents.</w:t>
      </w:r>
    </w:p>
    <w:p>
      <w:pPr>
        <w:pStyle w:val="ListParagraph"/>
        <w:numPr>
          <w:ilvl w:val="0"/>
          <w:numId w:val="2"/>
        </w:numPr>
        <w:spacing w:after="60" w:line="276"/>
      </w:pPr>
      <w:r>
        <w:rPr>
          <w:rFonts w:ascii="Arial" w:cs="Arial" w:eastAsia="Arial" w:hAnsi="Arial"/>
          <w:b/>
          <w:bCs/>
        </w:rPr>
        <w:t xml:space="preserve">L3 — Storage: </w:t>
      </w:r>
      <w:r>
        <w:rPr>
          <w:rFonts w:ascii="Arial" w:cs="Arial" w:eastAsia="Arial" w:hAnsi="Arial"/>
        </w:rPr>
        <w:t xml:space="preserve">Postgres for relational metadata; Turbopuffer for vectors plus chunk text.</w:t>
      </w:r>
    </w:p>
    <w:p>
      <w:pPr>
        <w:pStyle w:val="ListParagraph"/>
        <w:numPr>
          <w:ilvl w:val="0"/>
          <w:numId w:val="2"/>
        </w:numPr>
        <w:spacing w:after="60" w:line="276"/>
      </w:pPr>
      <w:r>
        <w:rPr>
          <w:rFonts w:ascii="Arial" w:cs="Arial" w:eastAsia="Arial" w:hAnsi="Arial"/>
          <w:b/>
          <w:bCs/>
        </w:rPr>
        <w:t xml:space="preserve">L4 — Retrieval (vector‑only): </w:t>
      </w:r>
      <w:r>
        <w:rPr>
          <w:rFonts w:ascii="Arial" w:cs="Arial" w:eastAsia="Arial" w:hAnsi="Arial"/>
        </w:rPr>
        <w:t xml:space="preserve">LLM query rewriter, vector similarity over the per‑matter namespace with structured filters, context expansion to parent sections.</w:t>
      </w:r>
    </w:p>
    <w:p>
      <w:pPr>
        <w:pStyle w:val="ListParagraph"/>
        <w:numPr>
          <w:ilvl w:val="0"/>
          <w:numId w:val="2"/>
        </w:numPr>
        <w:spacing w:after="60" w:line="276"/>
      </w:pPr>
      <w:r>
        <w:rPr>
          <w:rFonts w:ascii="Arial" w:cs="Arial" w:eastAsia="Arial" w:hAnsi="Arial"/>
          <w:b/>
          <w:bCs/>
        </w:rPr>
        <w:t xml:space="preserve">L5 — Synthesis with citations: </w:t>
      </w:r>
      <w:r>
        <w:rPr>
          <w:rFonts w:ascii="Arial" w:cs="Arial" w:eastAsia="Arial" w:hAnsi="Arial"/>
        </w:rPr>
        <w:t xml:space="preserve">Sonnet/Opus split, offset‑anchored citation schema enforced.</w:t>
      </w:r>
    </w:p>
    <w:p>
      <w:pPr>
        <w:pStyle w:val="ListParagraph"/>
        <w:numPr>
          <w:ilvl w:val="0"/>
          <w:numId w:val="2"/>
        </w:numPr>
        <w:spacing w:after="60" w:line="276"/>
      </w:pPr>
      <w:r>
        <w:rPr>
          <w:rFonts w:ascii="Arial" w:cs="Arial" w:eastAsia="Arial" w:hAnsi="Arial"/>
          <w:b/>
          <w:bCs/>
        </w:rPr>
        <w:t xml:space="preserve">L6 — Verification UI: </w:t>
      </w:r>
      <w:r>
        <w:rPr>
          <w:rFonts w:ascii="Arial" w:cs="Arial" w:eastAsia="Arial" w:hAnsi="Arial"/>
        </w:rPr>
        <w:t xml:space="preserve">Clickable citation chips; document viewer opens at the right page with the span highlighted.  This is the trust layer; v1 is not real without it.</w:t>
      </w:r>
    </w:p>
    <w:p>
      <w:pPr>
        <w:pStyle w:val="Heading2"/>
        <w:spacing w:after="140" w:before="280"/>
      </w:pPr>
      <w:r>
        <w:rPr>
          <w:rFonts w:ascii="Arial" w:cs="Arial" w:eastAsia="Arial" w:hAnsi="Arial"/>
          <w:b/>
          <w:bCs/>
          <w:sz w:val="26"/>
          <w:szCs w:val="26"/>
        </w:rPr>
        <w:t xml:space="preserve">6.2  Deferred to v1.5 (calendar weeks 8–10, contingent on v1 validation)</w:t>
      </w:r>
    </w:p>
    <w:p>
      <w:pPr>
        <w:pStyle w:val="ListParagraph"/>
        <w:numPr>
          <w:ilvl w:val="0"/>
          <w:numId w:val="2"/>
        </w:numPr>
        <w:spacing w:after="60" w:line="276"/>
      </w:pPr>
      <w:r>
        <w:rPr>
          <w:rFonts w:ascii="Arial" w:cs="Arial" w:eastAsia="Arial" w:hAnsi="Arial"/>
          <w:b/>
          <w:bCs/>
        </w:rPr>
        <w:t xml:space="preserve">Hybrid search </w:t>
      </w:r>
      <w:r>
        <w:rPr>
          <w:rFonts w:ascii="Arial" w:cs="Arial" w:eastAsia="Arial" w:hAnsi="Arial"/>
        </w:rPr>
        <w:t xml:space="preserve">(BM25 added to vector and fused).  Cheap because Turbopuffer supports it natively; deferred only so the validation phase compares against the simpler baseline first.</w:t>
      </w:r>
    </w:p>
    <w:p>
      <w:pPr>
        <w:pStyle w:val="ListParagraph"/>
        <w:numPr>
          <w:ilvl w:val="0"/>
          <w:numId w:val="2"/>
        </w:numPr>
        <w:spacing w:after="60" w:line="276"/>
      </w:pPr>
      <w:r>
        <w:rPr>
          <w:rFonts w:ascii="Arial" w:cs="Arial" w:eastAsia="Arial" w:hAnsi="Arial"/>
          <w:b/>
          <w:bCs/>
        </w:rPr>
        <w:t xml:space="preserve">Neural reranking </w:t>
      </w:r>
      <w:r>
        <w:rPr>
          <w:rFonts w:ascii="Arial" w:cs="Arial" w:eastAsia="Arial" w:hAnsi="Arial"/>
        </w:rPr>
        <w:t xml:space="preserve">(Voyage rerank‑2.5).  Modest precision gain; cost is low; worth measuring against vector‑only.</w:t>
      </w:r>
    </w:p>
    <w:p>
      <w:pPr>
        <w:pStyle w:val="ListParagraph"/>
        <w:numPr>
          <w:ilvl w:val="0"/>
          <w:numId w:val="2"/>
        </w:numPr>
        <w:spacing w:after="60" w:line="276"/>
      </w:pPr>
      <w:r>
        <w:rPr>
          <w:rFonts w:ascii="Arial" w:cs="Arial" w:eastAsia="Arial" w:hAnsi="Arial"/>
          <w:b/>
          <w:bCs/>
        </w:rPr>
        <w:t xml:space="preserve">First agentic workflow </w:t>
      </w:r>
      <w:r>
        <w:rPr>
          <w:rFonts w:ascii="Arial" w:cs="Arial" w:eastAsia="Arial" w:hAnsi="Arial"/>
        </w:rPr>
        <w:t xml:space="preserve">(candidate: chronological exhibit index, witness inconsistency check, or timeline‑from‑correspondence).  Picked after v1 reveals which is highest‑value.</w:t>
      </w:r>
    </w:p>
    <w:p>
      <w:pPr>
        <w:pStyle w:val="Heading2"/>
        <w:spacing w:after="140" w:before="280"/>
      </w:pPr>
      <w:r>
        <w:rPr>
          <w:rFonts w:ascii="Arial" w:cs="Arial" w:eastAsia="Arial" w:hAnsi="Arial"/>
          <w:b/>
          <w:bCs/>
          <w:sz w:val="26"/>
          <w:szCs w:val="26"/>
        </w:rPr>
        <w:t xml:space="preserve">6.3  Deferred to v2 (not on the v1.5 roadmap)</w:t>
      </w:r>
    </w:p>
    <w:p>
      <w:pPr>
        <w:pStyle w:val="ListParagraph"/>
        <w:numPr>
          <w:ilvl w:val="0"/>
          <w:numId w:val="2"/>
        </w:numPr>
        <w:spacing w:after="60" w:line="276"/>
      </w:pPr>
      <w:r>
        <w:rPr>
          <w:rFonts w:ascii="Arial" w:cs="Arial" w:eastAsia="Arial" w:hAnsi="Arial"/>
          <w:b/>
          <w:bCs/>
        </w:rPr>
        <w:t xml:space="preserve">Formal ethical‑wall isolation </w:t>
      </w:r>
      <w:r>
        <w:rPr>
          <w:rFonts w:ascii="Arial" w:cs="Arial" w:eastAsia="Arial" w:hAnsi="Arial"/>
        </w:rPr>
        <w:t xml:space="preserve">(per‑matter physical or cryptographic separation).  Needed if Mike hosts multiple firms or formally conflicted matters; not needed today.</w:t>
      </w:r>
    </w:p>
    <w:p>
      <w:pPr>
        <w:pStyle w:val="ListParagraph"/>
        <w:numPr>
          <w:ilvl w:val="0"/>
          <w:numId w:val="2"/>
        </w:numPr>
        <w:spacing w:after="60" w:line="276"/>
      </w:pPr>
      <w:r>
        <w:rPr>
          <w:rFonts w:ascii="Arial" w:cs="Arial" w:eastAsia="Arial" w:hAnsi="Arial"/>
          <w:b/>
          <w:bCs/>
        </w:rPr>
        <w:t xml:space="preserve">Self‑check retrieval retry </w:t>
      </w:r>
      <w:r>
        <w:rPr>
          <w:rFonts w:ascii="Arial" w:cs="Arial" w:eastAsia="Arial" w:hAnsi="Arial"/>
        </w:rPr>
        <w:t xml:space="preserve">(broaden filters and retry when the candidate set lacks answer signal).</w:t>
      </w:r>
    </w:p>
    <w:p>
      <w:pPr>
        <w:pStyle w:val="ListParagraph"/>
        <w:numPr>
          <w:ilvl w:val="0"/>
          <w:numId w:val="2"/>
        </w:numPr>
        <w:spacing w:after="60" w:line="276"/>
      </w:pPr>
      <w:r>
        <w:rPr>
          <w:rFonts w:ascii="Arial" w:cs="Arial" w:eastAsia="Arial" w:hAnsi="Arial"/>
          <w:b/>
          <w:bCs/>
        </w:rPr>
        <w:t xml:space="preserve">“Show all candidates” debug view </w:t>
      </w:r>
      <w:r>
        <w:rPr>
          <w:rFonts w:ascii="Arial" w:cs="Arial" w:eastAsia="Arial" w:hAnsi="Arial"/>
        </w:rPr>
        <w:t xml:space="preserve">(useful for engineers; less useful for end users).</w:t>
      </w:r>
    </w:p>
    <w:p>
      <w:pPr>
        <w:pStyle w:val="ListParagraph"/>
        <w:numPr>
          <w:ilvl w:val="0"/>
          <w:numId w:val="2"/>
        </w:numPr>
        <w:spacing w:after="60" w:line="276"/>
      </w:pPr>
      <w:r>
        <w:rPr>
          <w:rFonts w:ascii="Arial" w:cs="Arial" w:eastAsia="Arial" w:hAnsi="Arial"/>
          <w:b/>
          <w:bCs/>
        </w:rPr>
        <w:t xml:space="preserve">RAPTOR‑style hierarchical summaries </w:t>
      </w:r>
      <w:r>
        <w:rPr>
          <w:rFonts w:ascii="Arial" w:cs="Arial" w:eastAsia="Arial" w:hAnsi="Arial"/>
        </w:rPr>
        <w:t xml:space="preserve">(interesting but unproven for legal records at this scale).</w:t>
      </w:r>
    </w:p>
    <w:p>
      <w:pPr>
        <w:pStyle w:val="ListParagraph"/>
        <w:numPr>
          <w:ilvl w:val="0"/>
          <w:numId w:val="2"/>
        </w:numPr>
        <w:spacing w:after="60" w:line="276"/>
      </w:pPr>
      <w:r>
        <w:rPr>
          <w:rFonts w:ascii="Arial" w:cs="Arial" w:eastAsia="Arial" w:hAnsi="Arial"/>
          <w:b/>
          <w:bCs/>
        </w:rPr>
        <w:t xml:space="preserve">Multi‑workflow library </w:t>
      </w:r>
      <w:r>
        <w:rPr>
          <w:rFonts w:ascii="Arial" w:cs="Arial" w:eastAsia="Arial" w:hAnsi="Arial"/>
        </w:rPr>
        <w:t xml:space="preserve">(earned once one workflow proves itself).</w:t>
      </w:r>
    </w:p>
    <w:p>
      <w:pPr>
        <w:pStyle w:val="Heading1"/>
        <w:spacing w:after="200" w:before="360"/>
      </w:pPr>
      <w:r>
        <w:rPr>
          <w:rFonts w:ascii="Arial" w:cs="Arial" w:eastAsia="Arial" w:hAnsi="Arial"/>
          <w:b/>
          <w:bCs/>
          <w:sz w:val="32"/>
          <w:szCs w:val="32"/>
        </w:rPr>
        <w:t xml:space="preserve">7.  Cost breakdown</w:t>
      </w:r>
    </w:p>
    <w:p>
      <w:pPr>
        <w:spacing w:after="100" w:line="276"/>
      </w:pPr>
      <w:r>
        <w:rPr>
          <w:rFonts w:ascii="Arial" w:cs="Arial" w:eastAsia="Arial" w:hAnsi="Arial"/>
        </w:rPr>
        <w:t xml:space="preserve">All figures are working estimates based on current public pricing for Document AI, Voyage, Turbopuffer, and Anthropic.  Round to the nearest dollar.  Real spend will vary by ~30% based on matter composition (text‑heavy vs.  table‑heavy).</w:t>
      </w:r>
    </w:p>
    <w:p>
      <w:pPr>
        <w:pStyle w:val="Heading2"/>
        <w:spacing w:after="140" w:before="280"/>
      </w:pPr>
      <w:r>
        <w:rPr>
          <w:rFonts w:ascii="Arial" w:cs="Arial" w:eastAsia="Arial" w:hAnsi="Arial"/>
          <w:b/>
          <w:bCs/>
          <w:sz w:val="26"/>
          <w:szCs w:val="26"/>
        </w:rPr>
        <w:t xml:space="preserve">7.1  One‑time cost to ingest a 100,000‑page arbitration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80"/>
        <w:gridCol w:w="2880"/>
      </w:tblGrid>
      <w:tr>
        <w:trPr>
          <w:tblHeader/>
        </w:trPr>
        <w:tc>
          <w:tcPr>
            <w:tcW w:type="dxa" w:w="6480"/>
            <w:tcBorders>
              <w:top w:val="single" w:color="CCCCCC" w:sz="4"/>
              <w:left w:val="single" w:color="CCCCCC" w:sz="4"/>
              <w:bottom w:val="single" w:color="CCCCCC" w:sz="4"/>
              <w:right w:val="single" w:color="CCCCCC" w:sz="4"/>
            </w:tcBorders>
            <w:shd w:fill="E8EEF7" w:val="clear"/>
            <w:tcMar>
              <w:top w:type="dxa" w:w="80"/>
              <w:left w:type="dxa" w:w="120"/>
              <w:bottom w:type="dxa" w:w="80"/>
              <w:right w:type="dxa" w:w="120"/>
            </w:tcMar>
          </w:tcPr>
          <w:p>
            <w:pPr>
              <w:spacing w:after="0" w:line="260"/>
            </w:pPr>
            <w:r>
              <w:rPr>
                <w:rFonts w:ascii="Arial" w:cs="Arial" w:eastAsia="Arial" w:hAnsi="Arial"/>
                <w:b/>
                <w:bCs/>
                <w:sz w:val="22"/>
                <w:szCs w:val="22"/>
              </w:rPr>
              <w:t xml:space="preserve">Line item</w:t>
            </w:r>
          </w:p>
        </w:tc>
        <w:tc>
          <w:tcPr>
            <w:tcW w:type="dxa" w:w="2880"/>
            <w:tcBorders>
              <w:top w:val="single" w:color="CCCCCC" w:sz="4"/>
              <w:left w:val="single" w:color="CCCCCC" w:sz="4"/>
              <w:bottom w:val="single" w:color="CCCCCC" w:sz="4"/>
              <w:right w:val="single" w:color="CCCCCC" w:sz="4"/>
            </w:tcBorders>
            <w:shd w:fill="E8EEF7" w:val="clear"/>
            <w:tcMar>
              <w:top w:type="dxa" w:w="80"/>
              <w:left w:type="dxa" w:w="120"/>
              <w:bottom w:type="dxa" w:w="80"/>
              <w:right w:type="dxa" w:w="120"/>
            </w:tcMar>
          </w:tcPr>
          <w:p>
            <w:pPr>
              <w:spacing w:after="0" w:line="260"/>
            </w:pPr>
            <w:r>
              <w:rPr>
                <w:rFonts w:ascii="Arial" w:cs="Arial" w:eastAsia="Arial" w:hAnsi="Arial"/>
                <w:b/>
                <w:bCs/>
                <w:sz w:val="22"/>
                <w:szCs w:val="22"/>
              </w:rPr>
              <w:t xml:space="preserve">Cost</w:t>
            </w:r>
          </w:p>
        </w:tc>
      </w:tr>
      <w:tr>
        <w:tc>
          <w:tcPr>
            <w:tcW w:type="dxa" w:w="64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sz w:val="22"/>
                <w:szCs w:val="22"/>
              </w:rPr>
              <w:t xml:space="preserve">OCR — Document AI Layout Parser (~$10 per 1,000 pages)</w:t>
            </w:r>
          </w:p>
        </w:tc>
        <w:tc>
          <w:tcPr>
            <w:tcW w:type="dxa" w:w="28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sz w:val="22"/>
                <w:szCs w:val="22"/>
              </w:rPr>
              <w:t xml:space="preserve">~$1,000</w:t>
            </w:r>
          </w:p>
        </w:tc>
      </w:tr>
      <w:tr>
        <w:tc>
          <w:tcPr>
            <w:tcW w:type="dxa" w:w="64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sz w:val="22"/>
                <w:szCs w:val="22"/>
              </w:rPr>
              <w:t xml:space="preserve">OCR — Reducto escalation on ~10% of table‑heavy pages</w:t>
            </w:r>
          </w:p>
        </w:tc>
        <w:tc>
          <w:tcPr>
            <w:tcW w:type="dxa" w:w="28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sz w:val="22"/>
                <w:szCs w:val="22"/>
              </w:rPr>
              <w:t xml:space="preserve">~$100–$300</w:t>
            </w:r>
          </w:p>
        </w:tc>
      </w:tr>
      <w:tr>
        <w:tc>
          <w:tcPr>
            <w:tcW w:type="dxa" w:w="64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sz w:val="22"/>
                <w:szCs w:val="22"/>
              </w:rPr>
              <w:t xml:space="preserve">Metadata extraction — Haiku 4.5 (~5,000 docs)</w:t>
            </w:r>
          </w:p>
        </w:tc>
        <w:tc>
          <w:tcPr>
            <w:tcW w:type="dxa" w:w="28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sz w:val="22"/>
                <w:szCs w:val="22"/>
              </w:rPr>
              <w:t xml:space="preserve">~$5</w:t>
            </w:r>
          </w:p>
        </w:tc>
      </w:tr>
      <w:tr>
        <w:tc>
          <w:tcPr>
            <w:tcW w:type="dxa" w:w="64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sz w:val="22"/>
                <w:szCs w:val="22"/>
              </w:rPr>
              <w:t xml:space="preserve">Embeddings — Voyage voyage‑law‑2 (~50M tokens)</w:t>
            </w:r>
          </w:p>
        </w:tc>
        <w:tc>
          <w:tcPr>
            <w:tcW w:type="dxa" w:w="28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sz w:val="22"/>
                <w:szCs w:val="22"/>
              </w:rPr>
              <w:t xml:space="preserve">~$6</w:t>
            </w:r>
          </w:p>
        </w:tc>
      </w:tr>
      <w:tr>
        <w:tc>
          <w:tcPr>
            <w:tcW w:type="dxa" w:w="64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sz w:val="22"/>
                <w:szCs w:val="22"/>
              </w:rPr>
              <w:t xml:space="preserve">Turbopuffer first‑month storage (hot tier, ~10 GB)</w:t>
            </w:r>
          </w:p>
        </w:tc>
        <w:tc>
          <w:tcPr>
            <w:tcW w:type="dxa" w:w="28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sz w:val="22"/>
                <w:szCs w:val="22"/>
              </w:rPr>
              <w:t xml:space="preserve">~$15</w:t>
            </w:r>
          </w:p>
        </w:tc>
      </w:tr>
      <w:tr>
        <w:tc>
          <w:tcPr>
            <w:tcW w:type="dxa" w:w="64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sz w:val="22"/>
                <w:szCs w:val="22"/>
              </w:rPr>
              <w:t xml:space="preserve">Total first‑month per arbitration</w:t>
            </w:r>
          </w:p>
        </w:tc>
        <w:tc>
          <w:tcPr>
            <w:tcW w:type="dxa" w:w="28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sz w:val="22"/>
                <w:szCs w:val="22"/>
              </w:rPr>
              <w:t xml:space="preserve">~$1,150–$1,350</w:t>
            </w:r>
          </w:p>
        </w:tc>
      </w:tr>
    </w:tbl>
    <w:p>
      <w:pPr>
        <w:spacing w:after="100" w:line="276"/>
      </w:pPr>
      <w:r>
        <w:rPr>
          <w:rFonts w:ascii="Arial" w:cs="Arial" w:eastAsia="Arial" w:hAnsi="Arial"/>
          <w:i/>
          <w:iCs/>
        </w:rPr>
        <w:t xml:space="preserve">Note: the original proposal estimated $150–$300 per arbitration.  That number assumed text‑only OCR, which mangles tables.  Honest budgeting at the quality the workload requires is ~$1,000+.  Section 9 alternative #1 explains the trade if cost matters more than table fidelity.</w:t>
      </w:r>
    </w:p>
    <w:p>
      <w:pPr>
        <w:pStyle w:val="Heading2"/>
        <w:spacing w:after="140" w:before="280"/>
      </w:pPr>
      <w:r>
        <w:rPr>
          <w:rFonts w:ascii="Arial" w:cs="Arial" w:eastAsia="Arial" w:hAnsi="Arial"/>
          <w:b/>
          <w:bCs/>
          <w:sz w:val="26"/>
          <w:szCs w:val="26"/>
        </w:rPr>
        <w:t xml:space="preserve">7.2  Ongoing per active matter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80"/>
        <w:gridCol w:w="2880"/>
      </w:tblGrid>
      <w:tr>
        <w:trPr>
          <w:tblHeader/>
        </w:trPr>
        <w:tc>
          <w:tcPr>
            <w:tcW w:type="dxa" w:w="6480"/>
            <w:tcBorders>
              <w:top w:val="single" w:color="CCCCCC" w:sz="4"/>
              <w:left w:val="single" w:color="CCCCCC" w:sz="4"/>
              <w:bottom w:val="single" w:color="CCCCCC" w:sz="4"/>
              <w:right w:val="single" w:color="CCCCCC" w:sz="4"/>
            </w:tcBorders>
            <w:shd w:fill="E8EEF7" w:val="clear"/>
            <w:tcMar>
              <w:top w:type="dxa" w:w="80"/>
              <w:left w:type="dxa" w:w="120"/>
              <w:bottom w:type="dxa" w:w="80"/>
              <w:right w:type="dxa" w:w="120"/>
            </w:tcMar>
          </w:tcPr>
          <w:p>
            <w:pPr>
              <w:spacing w:after="0" w:line="260"/>
            </w:pPr>
            <w:r>
              <w:rPr>
                <w:rFonts w:ascii="Arial" w:cs="Arial" w:eastAsia="Arial" w:hAnsi="Arial"/>
                <w:b/>
                <w:bCs/>
                <w:sz w:val="22"/>
                <w:szCs w:val="22"/>
              </w:rPr>
              <w:t xml:space="preserve">Line item</w:t>
            </w:r>
          </w:p>
        </w:tc>
        <w:tc>
          <w:tcPr>
            <w:tcW w:type="dxa" w:w="2880"/>
            <w:tcBorders>
              <w:top w:val="single" w:color="CCCCCC" w:sz="4"/>
              <w:left w:val="single" w:color="CCCCCC" w:sz="4"/>
              <w:bottom w:val="single" w:color="CCCCCC" w:sz="4"/>
              <w:right w:val="single" w:color="CCCCCC" w:sz="4"/>
            </w:tcBorders>
            <w:shd w:fill="E8EEF7" w:val="clear"/>
            <w:tcMar>
              <w:top w:type="dxa" w:w="80"/>
              <w:left w:type="dxa" w:w="120"/>
              <w:bottom w:type="dxa" w:w="80"/>
              <w:right w:type="dxa" w:w="120"/>
            </w:tcMar>
          </w:tcPr>
          <w:p>
            <w:pPr>
              <w:spacing w:after="0" w:line="260"/>
            </w:pPr>
            <w:r>
              <w:rPr>
                <w:rFonts w:ascii="Arial" w:cs="Arial" w:eastAsia="Arial" w:hAnsi="Arial"/>
                <w:b/>
                <w:bCs/>
                <w:sz w:val="22"/>
                <w:szCs w:val="22"/>
              </w:rPr>
              <w:t xml:space="preserve">Cost</w:t>
            </w:r>
          </w:p>
        </w:tc>
      </w:tr>
      <w:tr>
        <w:tc>
          <w:tcPr>
            <w:tcW w:type="dxa" w:w="64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sz w:val="22"/>
                <w:szCs w:val="22"/>
              </w:rPr>
              <w:t xml:space="preserve">Turbopuffer hot storage (~10 GB × ~$1.50/GB‑month)</w:t>
            </w:r>
          </w:p>
        </w:tc>
        <w:tc>
          <w:tcPr>
            <w:tcW w:type="dxa" w:w="28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sz w:val="22"/>
                <w:szCs w:val="22"/>
              </w:rPr>
              <w:t xml:space="preserve">~$15/month</w:t>
            </w:r>
          </w:p>
        </w:tc>
      </w:tr>
      <w:tr>
        <w:tc>
          <w:tcPr>
            <w:tcW w:type="dxa" w:w="64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sz w:val="22"/>
                <w:szCs w:val="22"/>
              </w:rPr>
              <w:t xml:space="preserve">Turbopuffer cold tier (after matter goes dormant)</w:t>
            </w:r>
          </w:p>
        </w:tc>
        <w:tc>
          <w:tcPr>
            <w:tcW w:type="dxa" w:w="28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sz w:val="22"/>
                <w:szCs w:val="22"/>
              </w:rPr>
              <w:t xml:space="preserve">~$1/month</w:t>
            </w:r>
          </w:p>
        </w:tc>
      </w:tr>
      <w:tr>
        <w:tc>
          <w:tcPr>
            <w:tcW w:type="dxa" w:w="64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sz w:val="22"/>
                <w:szCs w:val="22"/>
              </w:rPr>
              <w:t xml:space="preserve">R2 source document storage (~10 GB)</w:t>
            </w:r>
          </w:p>
        </w:tc>
        <w:tc>
          <w:tcPr>
            <w:tcW w:type="dxa" w:w="28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sz w:val="22"/>
                <w:szCs w:val="22"/>
              </w:rPr>
              <w:t xml:space="preserve">&lt;$1/month</w:t>
            </w:r>
          </w:p>
        </w:tc>
      </w:tr>
    </w:tbl>
    <w:p>
      <w:pPr>
        <w:pStyle w:val="Heading2"/>
        <w:spacing w:after="140" w:before="280"/>
      </w:pPr>
      <w:r>
        <w:rPr>
          <w:rFonts w:ascii="Arial" w:cs="Arial" w:eastAsia="Arial" w:hAnsi="Arial"/>
          <w:b/>
          <w:bCs/>
          <w:sz w:val="26"/>
          <w:szCs w:val="26"/>
        </w:rPr>
        <w:t xml:space="preserve">7.3  Per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80"/>
        <w:gridCol w:w="2880"/>
      </w:tblGrid>
      <w:tr>
        <w:trPr>
          <w:tblHeader/>
        </w:trPr>
        <w:tc>
          <w:tcPr>
            <w:tcW w:type="dxa" w:w="6480"/>
            <w:tcBorders>
              <w:top w:val="single" w:color="CCCCCC" w:sz="4"/>
              <w:left w:val="single" w:color="CCCCCC" w:sz="4"/>
              <w:bottom w:val="single" w:color="CCCCCC" w:sz="4"/>
              <w:right w:val="single" w:color="CCCCCC" w:sz="4"/>
            </w:tcBorders>
            <w:shd w:fill="E8EEF7" w:val="clear"/>
            <w:tcMar>
              <w:top w:type="dxa" w:w="80"/>
              <w:left w:type="dxa" w:w="120"/>
              <w:bottom w:type="dxa" w:w="80"/>
              <w:right w:type="dxa" w:w="120"/>
            </w:tcMar>
          </w:tcPr>
          <w:p>
            <w:pPr>
              <w:spacing w:after="0" w:line="260"/>
            </w:pPr>
            <w:r>
              <w:rPr>
                <w:rFonts w:ascii="Arial" w:cs="Arial" w:eastAsia="Arial" w:hAnsi="Arial"/>
                <w:b/>
                <w:bCs/>
                <w:sz w:val="22"/>
                <w:szCs w:val="22"/>
              </w:rPr>
              <w:t xml:space="preserve">Query class</w:t>
            </w:r>
          </w:p>
        </w:tc>
        <w:tc>
          <w:tcPr>
            <w:tcW w:type="dxa" w:w="2880"/>
            <w:tcBorders>
              <w:top w:val="single" w:color="CCCCCC" w:sz="4"/>
              <w:left w:val="single" w:color="CCCCCC" w:sz="4"/>
              <w:bottom w:val="single" w:color="CCCCCC" w:sz="4"/>
              <w:right w:val="single" w:color="CCCCCC" w:sz="4"/>
            </w:tcBorders>
            <w:shd w:fill="E8EEF7" w:val="clear"/>
            <w:tcMar>
              <w:top w:type="dxa" w:w="80"/>
              <w:left w:type="dxa" w:w="120"/>
              <w:bottom w:type="dxa" w:w="80"/>
              <w:right w:type="dxa" w:w="120"/>
            </w:tcMar>
          </w:tcPr>
          <w:p>
            <w:pPr>
              <w:spacing w:after="0" w:line="260"/>
            </w:pPr>
            <w:r>
              <w:rPr>
                <w:rFonts w:ascii="Arial" w:cs="Arial" w:eastAsia="Arial" w:hAnsi="Arial"/>
                <w:b/>
                <w:bCs/>
                <w:sz w:val="22"/>
                <w:szCs w:val="22"/>
              </w:rPr>
              <w:t xml:space="preserve">Cost per query</w:t>
            </w:r>
          </w:p>
        </w:tc>
      </w:tr>
      <w:tr>
        <w:tc>
          <w:tcPr>
            <w:tcW w:type="dxa" w:w="64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sz w:val="22"/>
                <w:szCs w:val="22"/>
              </w:rPr>
              <w:t xml:space="preserve">Simple Q&amp;A (Sonnet, ~10k input + ~1k output tokens)</w:t>
            </w:r>
          </w:p>
        </w:tc>
        <w:tc>
          <w:tcPr>
            <w:tcW w:type="dxa" w:w="28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sz w:val="22"/>
                <w:szCs w:val="22"/>
              </w:rPr>
              <w:t xml:space="preserve">~$0.04</w:t>
            </w:r>
          </w:p>
        </w:tc>
      </w:tr>
      <w:tr>
        <w:tc>
          <w:tcPr>
            <w:tcW w:type="dxa" w:w="64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sz w:val="22"/>
                <w:szCs w:val="22"/>
              </w:rPr>
              <w:t xml:space="preserve">Complex multi‑hop (Opus, larger context, rerank, citation cycle)</w:t>
            </w:r>
          </w:p>
        </w:tc>
        <w:tc>
          <w:tcPr>
            <w:tcW w:type="dxa" w:w="28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sz w:val="22"/>
                <w:szCs w:val="22"/>
              </w:rPr>
              <w:t xml:space="preserve">~$0.20–$0.40</w:t>
            </w:r>
          </w:p>
        </w:tc>
      </w:tr>
      <w:tr>
        <w:tc>
          <w:tcPr>
            <w:tcW w:type="dxa" w:w="64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sz w:val="22"/>
                <w:szCs w:val="22"/>
              </w:rPr>
              <w:t xml:space="preserve">Agentic workflow run (multi‑step, multiple LLM calls)</w:t>
            </w:r>
          </w:p>
        </w:tc>
        <w:tc>
          <w:tcPr>
            <w:tcW w:type="dxa" w:w="28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sz w:val="22"/>
                <w:szCs w:val="22"/>
              </w:rPr>
              <w:t xml:space="preserve">~$1–$5</w:t>
            </w:r>
          </w:p>
        </w:tc>
      </w:tr>
    </w:tbl>
    <w:p>
      <w:pPr>
        <w:spacing w:after="100" w:line="276"/>
      </w:pPr>
      <w:r>
        <w:rPr>
          <w:rFonts w:ascii="Arial" w:cs="Arial" w:eastAsia="Arial" w:hAnsi="Arial"/>
        </w:rPr>
        <w:t xml:space="preserve">Heavy daily usage (10–50 queries/day per active matter) lands at $20–$50 per month.</w:t>
      </w:r>
    </w:p>
    <w:p>
      <w:pPr>
        <w:pStyle w:val="Heading2"/>
        <w:spacing w:after="140" w:before="280"/>
      </w:pPr>
      <w:r>
        <w:rPr>
          <w:rFonts w:ascii="Arial" w:cs="Arial" w:eastAsia="Arial" w:hAnsi="Arial"/>
          <w:b/>
          <w:bCs/>
          <w:sz w:val="26"/>
          <w:szCs w:val="26"/>
        </w:rPr>
        <w:t xml:space="preserve">7.4  Build‑time spend</w:t>
      </w:r>
    </w:p>
    <w:p>
      <w:pPr>
        <w:spacing w:after="100" w:line="276"/>
      </w:pPr>
      <w:r>
        <w:rPr>
          <w:rFonts w:ascii="Arial" w:cs="Arial" w:eastAsia="Arial" w:hAnsi="Arial"/>
        </w:rPr>
        <w:t xml:space="preserve">Total LLM + OCR + vector spend during all build phases: approximately $600–$1,500.  This is dominated by the Phase G real‑arbitration validation ingest (~$1,000 OCR).  All other phases are tens of dollars.</w:t>
      </w:r>
    </w:p>
    <w:p>
      <w:pPr>
        <w:pStyle w:val="Heading1"/>
        <w:spacing w:after="200" w:before="360"/>
      </w:pPr>
      <w:r>
        <w:rPr>
          <w:rFonts w:ascii="Arial" w:cs="Arial" w:eastAsia="Arial" w:hAnsi="Arial"/>
          <w:b/>
          <w:bCs/>
          <w:sz w:val="32"/>
          <w:szCs w:val="32"/>
        </w:rPr>
        <w:t xml:space="preserve">8.  Time estimate and phased plan</w:t>
      </w:r>
    </w:p>
    <w:p>
      <w:pPr>
        <w:spacing w:after="100" w:line="276"/>
      </w:pPr>
      <w:r>
        <w:rPr>
          <w:rFonts w:ascii="Arial" w:cs="Arial" w:eastAsia="Arial" w:hAnsi="Arial"/>
        </w:rPr>
        <w:t xml:space="preserve">“Calendar weeks” below means weeks of focused engineering work, not engineer‑hours of pure typing.  Real schedules absorb interruptions, dependency waits, and the inevitable “the thing we thought was wired up wasn’t.”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800"/>
        <w:gridCol w:w="1860"/>
      </w:tblGrid>
      <w:tr>
        <w:trPr>
          <w:tblHeader/>
        </w:trPr>
        <w:tc>
          <w:tcPr>
            <w:tcW w:type="dxa" w:w="1700"/>
            <w:tcBorders>
              <w:top w:val="single" w:color="CCCCCC" w:sz="4"/>
              <w:left w:val="single" w:color="CCCCCC" w:sz="4"/>
              <w:bottom w:val="single" w:color="CCCCCC" w:sz="4"/>
              <w:right w:val="single" w:color="CCCCCC" w:sz="4"/>
            </w:tcBorders>
            <w:shd w:fill="E8EEF7" w:val="clear"/>
            <w:tcMar>
              <w:top w:type="dxa" w:w="80"/>
              <w:left w:type="dxa" w:w="120"/>
              <w:bottom w:type="dxa" w:w="80"/>
              <w:right w:type="dxa" w:w="120"/>
            </w:tcMar>
          </w:tcPr>
          <w:p>
            <w:pPr>
              <w:spacing w:after="0" w:line="260"/>
            </w:pPr>
            <w:r>
              <w:rPr>
                <w:rFonts w:ascii="Arial" w:cs="Arial" w:eastAsia="Arial" w:hAnsi="Arial"/>
                <w:b/>
                <w:bCs/>
                <w:sz w:val="22"/>
                <w:szCs w:val="22"/>
              </w:rPr>
              <w:t xml:space="preserve">Phase</w:t>
            </w:r>
          </w:p>
        </w:tc>
        <w:tc>
          <w:tcPr>
            <w:tcW w:type="dxa" w:w="5800"/>
            <w:tcBorders>
              <w:top w:val="single" w:color="CCCCCC" w:sz="4"/>
              <w:left w:val="single" w:color="CCCCCC" w:sz="4"/>
              <w:bottom w:val="single" w:color="CCCCCC" w:sz="4"/>
              <w:right w:val="single" w:color="CCCCCC" w:sz="4"/>
            </w:tcBorders>
            <w:shd w:fill="E8EEF7" w:val="clear"/>
            <w:tcMar>
              <w:top w:type="dxa" w:w="80"/>
              <w:left w:type="dxa" w:w="120"/>
              <w:bottom w:type="dxa" w:w="80"/>
              <w:right w:type="dxa" w:w="120"/>
            </w:tcMar>
          </w:tcPr>
          <w:p>
            <w:pPr>
              <w:spacing w:after="0" w:line="260"/>
            </w:pPr>
            <w:r>
              <w:rPr>
                <w:rFonts w:ascii="Arial" w:cs="Arial" w:eastAsia="Arial" w:hAnsi="Arial"/>
                <w:b/>
                <w:bCs/>
                <w:sz w:val="22"/>
                <w:szCs w:val="22"/>
              </w:rPr>
              <w:t xml:space="preserve">Work</w:t>
            </w:r>
          </w:p>
        </w:tc>
        <w:tc>
          <w:tcPr>
            <w:tcW w:type="dxa" w:w="1860"/>
            <w:tcBorders>
              <w:top w:val="single" w:color="CCCCCC" w:sz="4"/>
              <w:left w:val="single" w:color="CCCCCC" w:sz="4"/>
              <w:bottom w:val="single" w:color="CCCCCC" w:sz="4"/>
              <w:right w:val="single" w:color="CCCCCC" w:sz="4"/>
            </w:tcBorders>
            <w:shd w:fill="E8EEF7" w:val="clear"/>
            <w:tcMar>
              <w:top w:type="dxa" w:w="80"/>
              <w:left w:type="dxa" w:w="120"/>
              <w:bottom w:type="dxa" w:w="80"/>
              <w:right w:type="dxa" w:w="120"/>
            </w:tcMar>
          </w:tcPr>
          <w:p>
            <w:pPr>
              <w:spacing w:after="0" w:line="260"/>
            </w:pPr>
            <w:r>
              <w:rPr>
                <w:rFonts w:ascii="Arial" w:cs="Arial" w:eastAsia="Arial" w:hAnsi="Arial"/>
                <w:b/>
                <w:bCs/>
                <w:sz w:val="22"/>
                <w:szCs w:val="22"/>
              </w:rPr>
              <w:t xml:space="preserve">Calendar</w:t>
            </w:r>
          </w:p>
        </w:tc>
      </w:tr>
      <w:tr>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sz w:val="22"/>
                <w:szCs w:val="22"/>
              </w:rPr>
              <w:t xml:space="preserve">A.  Foundations</w:t>
            </w:r>
          </w:p>
        </w:tc>
        <w:tc>
          <w:tcPr>
            <w:tcW w:type="dxa" w:w="5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sz w:val="22"/>
                <w:szCs w:val="22"/>
              </w:rPr>
              <w:t xml:space="preserve">Turbopuffer + namespace pattern; Voyage + Document AI accounts; Redis for ingest queue; retrieval interface stub.  No Railway image swap.</w:t>
            </w:r>
          </w:p>
        </w:tc>
        <w:tc>
          <w:tcPr>
            <w:tcW w:type="dxa" w:w="1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sz w:val="22"/>
                <w:szCs w:val="22"/>
              </w:rPr>
              <w:t xml:space="preserve">2–3 days</w:t>
            </w:r>
          </w:p>
        </w:tc>
      </w:tr>
      <w:tr>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sz w:val="22"/>
                <w:szCs w:val="22"/>
              </w:rPr>
              <w:t xml:space="preserve">B.  Ingestion v1</w:t>
            </w:r>
          </w:p>
        </w:tc>
        <w:tc>
          <w:tcPr>
            <w:tcW w:type="dxa" w:w="5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sz w:val="22"/>
                <w:szCs w:val="22"/>
              </w:rPr>
              <w:t xml:space="preserve">Document AI Layout Parser; per‑doc classification + metadata; document‑type‑aware chunking; structure‑preserving extraction; ingest_jobs table; BullMQ worker.</w:t>
            </w:r>
          </w:p>
        </w:tc>
        <w:tc>
          <w:tcPr>
            <w:tcW w:type="dxa" w:w="1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sz w:val="22"/>
                <w:szCs w:val="22"/>
              </w:rPr>
              <w:t xml:space="preserve">1.5–2 weeks</w:t>
            </w:r>
          </w:p>
        </w:tc>
      </w:tr>
      <w:tr>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sz w:val="22"/>
                <w:szCs w:val="22"/>
              </w:rPr>
              <w:t xml:space="preserve">C.  Embed + index</w:t>
            </w:r>
          </w:p>
        </w:tc>
        <w:tc>
          <w:tcPr>
            <w:tcW w:type="dxa" w:w="5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sz w:val="22"/>
                <w:szCs w:val="22"/>
              </w:rPr>
              <w:t xml:space="preserve">Voyage embedding integration; Turbopuffer upsert with per‑project namespace and attributes; idempotent retry.</w:t>
            </w:r>
          </w:p>
        </w:tc>
        <w:tc>
          <w:tcPr>
            <w:tcW w:type="dxa" w:w="1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sz w:val="22"/>
                <w:szCs w:val="22"/>
              </w:rPr>
              <w:t xml:space="preserve">3–4 days</w:t>
            </w:r>
          </w:p>
        </w:tc>
      </w:tr>
      <w:tr>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sz w:val="22"/>
                <w:szCs w:val="22"/>
              </w:rPr>
              <w:t xml:space="preserve">D.  Retrieval v1</w:t>
            </w:r>
          </w:p>
        </w:tc>
        <w:tc>
          <w:tcPr>
            <w:tcW w:type="dxa" w:w="5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sz w:val="22"/>
                <w:szCs w:val="22"/>
              </w:rPr>
              <w:t xml:space="preserve">Query rewriter (Haiku); semantic_search chat tool; vector‑only retrieval; context expansion.</w:t>
            </w:r>
          </w:p>
        </w:tc>
        <w:tc>
          <w:tcPr>
            <w:tcW w:type="dxa" w:w="1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sz w:val="22"/>
                <w:szCs w:val="22"/>
              </w:rPr>
              <w:t xml:space="preserve">4–5 days</w:t>
            </w:r>
          </w:p>
        </w:tc>
      </w:tr>
      <w:tr>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sz w:val="22"/>
                <w:szCs w:val="22"/>
              </w:rPr>
              <w:t xml:space="preserve">E.  Synthesis + citations</w:t>
            </w:r>
          </w:p>
        </w:tc>
        <w:tc>
          <w:tcPr>
            <w:tcW w:type="dxa" w:w="5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sz w:val="22"/>
                <w:szCs w:val="22"/>
              </w:rPr>
              <w:t xml:space="preserve">Output schema; offset‑anchored quote extraction; citation API; cross‑project leakage test.</w:t>
            </w:r>
          </w:p>
        </w:tc>
        <w:tc>
          <w:tcPr>
            <w:tcW w:type="dxa" w:w="1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sz w:val="22"/>
                <w:szCs w:val="22"/>
              </w:rPr>
              <w:t xml:space="preserve">1 week</w:t>
            </w:r>
          </w:p>
        </w:tc>
      </w:tr>
      <w:tr>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sz w:val="22"/>
                <w:szCs w:val="22"/>
              </w:rPr>
              <w:t xml:space="preserve">F.  UI citations</w:t>
            </w:r>
          </w:p>
        </w:tc>
        <w:tc>
          <w:tcPr>
            <w:tcW w:type="dxa" w:w="5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sz w:val="22"/>
                <w:szCs w:val="22"/>
              </w:rPr>
              <w:t xml:space="preserve">Clickable citation chips; doc viewer accepts chunk_id + offsets and highlights the span; transcript citation rendering.</w:t>
            </w:r>
          </w:p>
        </w:tc>
        <w:tc>
          <w:tcPr>
            <w:tcW w:type="dxa" w:w="1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sz w:val="22"/>
                <w:szCs w:val="22"/>
              </w:rPr>
              <w:t xml:space="preserve">1–1.5 weeks</w:t>
            </w:r>
          </w:p>
        </w:tc>
      </w:tr>
      <w:tr>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sz w:val="22"/>
                <w:szCs w:val="22"/>
              </w:rPr>
              <w:t xml:space="preserve">G.  Real‑workload validation</w:t>
            </w:r>
          </w:p>
        </w:tc>
        <w:tc>
          <w:tcPr>
            <w:tcW w:type="dxa" w:w="5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sz w:val="22"/>
                <w:szCs w:val="22"/>
              </w:rPr>
              <w:t xml:space="preserve">Ingest one real Hugh‑selected arbitration; run 20 representative queries; fix top 3 problems found.</w:t>
            </w:r>
          </w:p>
        </w:tc>
        <w:tc>
          <w:tcPr>
            <w:tcW w:type="dxa" w:w="1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sz w:val="22"/>
                <w:szCs w:val="22"/>
              </w:rPr>
              <w:t xml:space="preserve">1 week (+ ingest wall‑clock)</w:t>
            </w:r>
          </w:p>
        </w:tc>
      </w:tr>
      <w:tr>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sz w:val="22"/>
                <w:szCs w:val="22"/>
              </w:rPr>
              <w:t xml:space="preserve">H.  Hybrid + rerank (v1.5)</w:t>
            </w:r>
          </w:p>
        </w:tc>
        <w:tc>
          <w:tcPr>
            <w:tcW w:type="dxa" w:w="5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sz w:val="22"/>
                <w:szCs w:val="22"/>
              </w:rPr>
              <w:t xml:space="preserve">Activate Turbopuffer hybrid; add Voyage rerank‑2.5; A/B against vector‑only.</w:t>
            </w:r>
          </w:p>
        </w:tc>
        <w:tc>
          <w:tcPr>
            <w:tcW w:type="dxa" w:w="1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sz w:val="22"/>
                <w:szCs w:val="22"/>
              </w:rPr>
              <w:t xml:space="preserve">4–5 days</w:t>
            </w:r>
          </w:p>
        </w:tc>
      </w:tr>
      <w:tr>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sz w:val="22"/>
                <w:szCs w:val="22"/>
              </w:rPr>
              <w:t xml:space="preserve">I.  First agentic workflow (v1.5)</w:t>
            </w:r>
          </w:p>
        </w:tc>
        <w:tc>
          <w:tcPr>
            <w:tcW w:type="dxa" w:w="5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sz w:val="22"/>
                <w:szCs w:val="22"/>
              </w:rPr>
              <w:t xml:space="preserve">Build one workflow on Claude Agent SDK; wire to existing workflow UI.</w:t>
            </w:r>
          </w:p>
        </w:tc>
        <w:tc>
          <w:tcPr>
            <w:tcW w:type="dxa" w:w="1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sz w:val="22"/>
                <w:szCs w:val="22"/>
              </w:rPr>
              <w:t xml:space="preserve">1–1.5 weeks</w:t>
            </w:r>
          </w:p>
        </w:tc>
      </w:tr>
    </w:tbl>
    <w:p>
      <w:pPr>
        <w:spacing w:after="100" w:line="276"/>
      </w:pPr>
      <w:r>
        <w:rPr>
          <w:rFonts w:ascii="Arial" w:cs="Arial" w:eastAsia="Arial" w:hAnsi="Arial"/>
          <w:b/>
          <w:bCs/>
        </w:rPr>
        <w:t xml:space="preserve">Totals: </w:t>
      </w:r>
      <w:r>
        <w:rPr>
          <w:rFonts w:ascii="Arial" w:cs="Arial" w:eastAsia="Arial" w:hAnsi="Arial"/>
        </w:rPr>
        <w:t xml:space="preserve">~6–7 calendar weeks to validated v1 (phases A–G); ~8.5–10 weeks to v1.5 (adding H + I).  This matches the original “6–10 weeks of focused work” envelope.  The work is reallocated rather than expanded.</w:t>
      </w:r>
    </w:p>
    <w:p>
      <w:pPr>
        <w:spacing w:after="100" w:line="276"/>
      </w:pPr>
      <w:r>
        <w:rPr>
          <w:rFonts w:ascii="Arial" w:cs="Arial" w:eastAsia="Arial" w:hAnsi="Arial"/>
          <w:b/>
          <w:bCs/>
        </w:rPr>
        <w:t xml:space="preserve">Important wall‑clock note for Phase G: </w:t>
      </w:r>
      <w:r>
        <w:rPr>
          <w:rFonts w:ascii="Arial" w:cs="Arial" w:eastAsia="Arial" w:hAnsi="Arial"/>
        </w:rPr>
        <w:t xml:space="preserve">a 100,000‑page ingest is not instantaneous.  Document AI runs at roughly 2–5 pages per second per worker; with 20 parallel workers, end‑to‑end ingest is 6–12 hours.  Plan to kick off Friday evening, query Saturday morning.  This is a UX expectation, not a build‑cost issue.</w:t>
      </w:r>
    </w:p>
    <w:p>
      <w:pPr>
        <w:pStyle w:val="Heading1"/>
        <w:spacing w:after="200" w:before="360"/>
      </w:pPr>
      <w:r>
        <w:rPr>
          <w:rFonts w:ascii="Arial" w:cs="Arial" w:eastAsia="Arial" w:hAnsi="Arial"/>
          <w:b/>
          <w:bCs/>
          <w:sz w:val="32"/>
          <w:szCs w:val="32"/>
        </w:rPr>
        <w:t xml:space="preserve">9.  Cost and time‑saving alternatives</w:t>
      </w:r>
    </w:p>
    <w:p>
      <w:pPr>
        <w:spacing w:after="100" w:line="276"/>
      </w:pPr>
      <w:r>
        <w:rPr>
          <w:rFonts w:ascii="Arial" w:cs="Arial" w:eastAsia="Arial" w:hAnsi="Arial"/>
        </w:rPr>
        <w:t xml:space="preserve">Five places where a modest performance reduction can buy a meaningful cost or time saving.  Each entry states what changes, what is lost, what is saved, and the conditions under which the trade is worth taking.  These are not mutually exclusive — combinations are discussed at the end.</w:t>
      </w:r>
    </w:p>
    <w:p>
      <w:pPr>
        <w:pStyle w:val="Heading2"/>
        <w:spacing w:after="140" w:before="280"/>
      </w:pPr>
      <w:r>
        <w:rPr>
          <w:rFonts w:ascii="Arial" w:cs="Arial" w:eastAsia="Arial" w:hAnsi="Arial"/>
          <w:b/>
          <w:bCs/>
          <w:sz w:val="26"/>
          <w:szCs w:val="26"/>
        </w:rPr>
        <w:t xml:space="preserve">9.1  Alternative A — Text‑only OCR instead of Layout Parser</w:t>
      </w:r>
    </w:p>
    <w:p>
      <w:pPr>
        <w:spacing w:after="100" w:line="276"/>
      </w:pPr>
      <w:r>
        <w:rPr>
          <w:rFonts w:ascii="Arial" w:cs="Arial" w:eastAsia="Arial" w:hAnsi="Arial"/>
          <w:b/>
          <w:bCs/>
        </w:rPr>
        <w:t xml:space="preserve">What changes: </w:t>
      </w:r>
      <w:r>
        <w:rPr>
          <w:rFonts w:ascii="Arial" w:cs="Arial" w:eastAsia="Arial" w:hAnsi="Arial"/>
        </w:rPr>
        <w:t xml:space="preserve">Run Document AI in text‑only mode ($1.50 per 1,000 pages) instead of Layout Parser ($10 per 1,000 pages) on all pages.</w:t>
      </w:r>
    </w:p>
    <w:p>
      <w:pPr>
        <w:spacing w:after="100" w:line="276"/>
      </w:pPr>
      <w:r>
        <w:rPr>
          <w:rFonts w:ascii="Arial" w:cs="Arial" w:eastAsia="Arial" w:hAnsi="Arial"/>
          <w:b/>
          <w:bCs/>
        </w:rPr>
        <w:t xml:space="preserve">Saved: </w:t>
      </w:r>
      <w:r>
        <w:rPr>
          <w:rFonts w:ascii="Arial" w:cs="Arial" w:eastAsia="Arial" w:hAnsi="Arial"/>
        </w:rPr>
        <w:t xml:space="preserve">~$850 per arbitration ingest — about 85% of OCR cost.  No development time change.</w:t>
      </w:r>
    </w:p>
    <w:p>
      <w:pPr>
        <w:spacing w:after="100" w:line="276"/>
      </w:pPr>
      <w:r>
        <w:rPr>
          <w:rFonts w:ascii="Arial" w:cs="Arial" w:eastAsia="Arial" w:hAnsi="Arial"/>
          <w:b/>
          <w:bCs/>
        </w:rPr>
        <w:t xml:space="preserve">Lost: </w:t>
      </w:r>
      <w:r>
        <w:rPr>
          <w:rFonts w:ascii="Arial" w:cs="Arial" w:eastAsia="Arial" w:hAnsi="Arial"/>
        </w:rPr>
        <w:t xml:space="preserve">Tables in exhibits arrive as raw rows of text, often misaligned across columns.  Multi‑column court filings can have reading‑order errors.  Retrieval quality on table‑heavy and multi‑column content drops noticeably; rough estimate is that 10–20% of retrievals from such pages will be lower‑quality matches.</w:t>
      </w:r>
    </w:p>
    <w:p>
      <w:pPr>
        <w:spacing w:after="100" w:line="276"/>
      </w:pPr>
      <w:r>
        <w:rPr>
          <w:rFonts w:ascii="Arial" w:cs="Arial" w:eastAsia="Arial" w:hAnsi="Arial"/>
          <w:b/>
          <w:bCs/>
        </w:rPr>
        <w:t xml:space="preserve">Take if: </w:t>
      </w:r>
      <w:r>
        <w:rPr>
          <w:rFonts w:ascii="Arial" w:cs="Arial" w:eastAsia="Arial" w:hAnsi="Arial"/>
        </w:rPr>
        <w:t xml:space="preserve">the matter is prose‑heavy (pleadings, witness statements, narrative exhibits, correspondence) rather than financial/data‑heavy.  Or take initially and upgrade to Layout Parser later if retrieval quality on tables becomes a complaint.</w:t>
      </w:r>
    </w:p>
    <w:p>
      <w:pPr>
        <w:pStyle w:val="Heading2"/>
        <w:spacing w:after="140" w:before="280"/>
      </w:pPr>
      <w:r>
        <w:rPr>
          <w:rFonts w:ascii="Arial" w:cs="Arial" w:eastAsia="Arial" w:hAnsi="Arial"/>
          <w:b/>
          <w:bCs/>
          <w:sz w:val="26"/>
          <w:szCs w:val="26"/>
        </w:rPr>
        <w:t xml:space="preserve">9.2  Alternative B — Skip the reranker</w:t>
      </w:r>
    </w:p>
    <w:p>
      <w:pPr>
        <w:spacing w:after="100" w:line="276"/>
      </w:pPr>
      <w:r>
        <w:rPr>
          <w:rFonts w:ascii="Arial" w:cs="Arial" w:eastAsia="Arial" w:hAnsi="Arial"/>
          <w:b/>
          <w:bCs/>
        </w:rPr>
        <w:t xml:space="preserve">What changes: </w:t>
      </w:r>
      <w:r>
        <w:rPr>
          <w:rFonts w:ascii="Arial" w:cs="Arial" w:eastAsia="Arial" w:hAnsi="Arial"/>
        </w:rPr>
        <w:t xml:space="preserve">Ship v1.5 without the Voyage rerank‑2.5 step.  Vector‑only retrieval (with hybrid in v1.5) feeds synthesis directly.</w:t>
      </w:r>
    </w:p>
    <w:p>
      <w:pPr>
        <w:spacing w:after="100" w:line="276"/>
      </w:pPr>
      <w:r>
        <w:rPr>
          <w:rFonts w:ascii="Arial" w:cs="Arial" w:eastAsia="Arial" w:hAnsi="Arial"/>
          <w:b/>
          <w:bCs/>
        </w:rPr>
        <w:t xml:space="preserve">Saved: </w:t>
      </w:r>
      <w:r>
        <w:rPr>
          <w:rFonts w:ascii="Arial" w:cs="Arial" w:eastAsia="Arial" w:hAnsi="Arial"/>
        </w:rPr>
        <w:t xml:space="preserve">~$0.005 per query.  4–5 development days (Phase H shrinks).</w:t>
      </w:r>
    </w:p>
    <w:p>
      <w:pPr>
        <w:spacing w:after="100" w:line="276"/>
      </w:pPr>
      <w:r>
        <w:rPr>
          <w:rFonts w:ascii="Arial" w:cs="Arial" w:eastAsia="Arial" w:hAnsi="Arial"/>
          <w:b/>
          <w:bCs/>
        </w:rPr>
        <w:t xml:space="preserve">Lost: </w:t>
      </w:r>
      <w:r>
        <w:rPr>
          <w:rFonts w:ascii="Arial" w:cs="Arial" w:eastAsia="Arial" w:hAnsi="Arial"/>
        </w:rPr>
        <w:t xml:space="preserve">Modest precision loss in top results.  Vector + hybrid typically lands around 80–85% precision in the top 10; rerank pushes that to ~90%.  For “find all mentions of X” queries (high recall) the difference is small.  For “what is the most relevant passage about Y” (high precision at rank 1) it is more visible.</w:t>
      </w:r>
    </w:p>
    <w:p>
      <w:pPr>
        <w:spacing w:after="100" w:line="276"/>
      </w:pPr>
      <w:r>
        <w:rPr>
          <w:rFonts w:ascii="Arial" w:cs="Arial" w:eastAsia="Arial" w:hAnsi="Arial"/>
          <w:b/>
          <w:bCs/>
        </w:rPr>
        <w:t xml:space="preserve">Take if: </w:t>
      </w:r>
      <w:r>
        <w:rPr>
          <w:rFonts w:ascii="Arial" w:cs="Arial" w:eastAsia="Arial" w:hAnsi="Arial"/>
        </w:rPr>
        <w:t xml:space="preserve">Phase G validation shows vector + hybrid retrieval is already good enough for the queries that matter, or if cost‑per‑query needs to come down for high‑volume agentic workflows.</w:t>
      </w:r>
    </w:p>
    <w:p>
      <w:pPr>
        <w:pStyle w:val="Heading2"/>
        <w:spacing w:after="140" w:before="280"/>
      </w:pPr>
      <w:r>
        <w:rPr>
          <w:rFonts w:ascii="Arial" w:cs="Arial" w:eastAsia="Arial" w:hAnsi="Arial"/>
          <w:b/>
          <w:bCs/>
          <w:sz w:val="26"/>
          <w:szCs w:val="26"/>
        </w:rPr>
        <w:t xml:space="preserve">9.3  Alternative C — Sonnet only, never escalate to Opus</w:t>
      </w:r>
    </w:p>
    <w:p>
      <w:pPr>
        <w:spacing w:after="100" w:line="276"/>
      </w:pPr>
      <w:r>
        <w:rPr>
          <w:rFonts w:ascii="Arial" w:cs="Arial" w:eastAsia="Arial" w:hAnsi="Arial"/>
          <w:b/>
          <w:bCs/>
        </w:rPr>
        <w:t xml:space="preserve">What changes: </w:t>
      </w:r>
      <w:r>
        <w:rPr>
          <w:rFonts w:ascii="Arial" w:cs="Arial" w:eastAsia="Arial" w:hAnsi="Arial"/>
        </w:rPr>
        <w:t xml:space="preserve">Synthesis uses Claude Sonnet 4.6 for every query class.  No escalation path to Opus 4.7.</w:t>
      </w:r>
    </w:p>
    <w:p>
      <w:pPr>
        <w:spacing w:after="100" w:line="276"/>
      </w:pPr>
      <w:r>
        <w:rPr>
          <w:rFonts w:ascii="Arial" w:cs="Arial" w:eastAsia="Arial" w:hAnsi="Arial"/>
          <w:b/>
          <w:bCs/>
        </w:rPr>
        <w:t xml:space="preserve">Saved: </w:t>
      </w:r>
      <w:r>
        <w:rPr>
          <w:rFonts w:ascii="Arial" w:cs="Arial" w:eastAsia="Arial" w:hAnsi="Arial"/>
        </w:rPr>
        <w:t xml:space="preserve">~5–10× on complex queries (~$0.04 vs.  ~$0.30).  No development time change.</w:t>
      </w:r>
    </w:p>
    <w:p>
      <w:pPr>
        <w:spacing w:after="100" w:line="276"/>
      </w:pPr>
      <w:r>
        <w:rPr>
          <w:rFonts w:ascii="Arial" w:cs="Arial" w:eastAsia="Arial" w:hAnsi="Arial"/>
          <w:b/>
          <w:bCs/>
        </w:rPr>
        <w:t xml:space="preserve">Lost: </w:t>
      </w:r>
      <w:r>
        <w:rPr>
          <w:rFonts w:ascii="Arial" w:cs="Arial" w:eastAsia="Arial" w:hAnsi="Arial"/>
        </w:rPr>
        <w:t xml:space="preserve">Multi‑hop reasoning queries — “find inconsistencies between this witness on day 3 and the expert’s report”, “summarize the chain of correspondence on the notice issue and identify the strongest version of the Respondent’s argument” — will produce shallower analysis.  Routine factual retrieval and quoting are unaffected.</w:t>
      </w:r>
    </w:p>
    <w:p>
      <w:pPr>
        <w:spacing w:after="100" w:line="276"/>
      </w:pPr>
      <w:r>
        <w:rPr>
          <w:rFonts w:ascii="Arial" w:cs="Arial" w:eastAsia="Arial" w:hAnsi="Arial"/>
          <w:b/>
          <w:bCs/>
        </w:rPr>
        <w:t xml:space="preserve">Take if: </w:t>
      </w:r>
      <w:r>
        <w:rPr>
          <w:rFonts w:ascii="Arial" w:cs="Arial" w:eastAsia="Arial" w:hAnsi="Arial"/>
        </w:rPr>
        <w:t xml:space="preserve">most queries are retrieval‑heavy (“find me X,” “quote me the passage where Y”) rather than reasoning‑heavy.  In practice the right move is probably to keep the escalation option but require an explicit opt‑in (a button or a “deep‑analysis” mode), so that you pay Opus pricing only when the question genuinely needs it.</w:t>
      </w:r>
    </w:p>
    <w:p>
      <w:pPr>
        <w:pStyle w:val="Heading2"/>
        <w:spacing w:after="140" w:before="280"/>
      </w:pPr>
      <w:r>
        <w:rPr>
          <w:rFonts w:ascii="Arial" w:cs="Arial" w:eastAsia="Arial" w:hAnsi="Arial"/>
          <w:b/>
          <w:bCs/>
          <w:sz w:val="26"/>
          <w:szCs w:val="26"/>
        </w:rPr>
        <w:t xml:space="preserve">9.4  Alternative D — Defer document‑type‑aware chunking</w:t>
      </w:r>
    </w:p>
    <w:p>
      <w:pPr>
        <w:spacing w:after="100" w:line="276"/>
      </w:pPr>
      <w:r>
        <w:rPr>
          <w:rFonts w:ascii="Arial" w:cs="Arial" w:eastAsia="Arial" w:hAnsi="Arial"/>
          <w:b/>
          <w:bCs/>
        </w:rPr>
        <w:t xml:space="preserve">What changes: </w:t>
      </w:r>
      <w:r>
        <w:rPr>
          <w:rFonts w:ascii="Arial" w:cs="Arial" w:eastAsia="Arial" w:hAnsi="Arial"/>
        </w:rPr>
        <w:t xml:space="preserve">All documents use uniform small‑to‑big chunking.  No per‑doc‑type routing.</w:t>
      </w:r>
    </w:p>
    <w:p>
      <w:pPr>
        <w:spacing w:after="100" w:line="276"/>
      </w:pPr>
      <w:r>
        <w:rPr>
          <w:rFonts w:ascii="Arial" w:cs="Arial" w:eastAsia="Arial" w:hAnsi="Arial"/>
          <w:b/>
          <w:bCs/>
        </w:rPr>
        <w:t xml:space="preserve">Saved: </w:t>
      </w:r>
      <w:r>
        <w:rPr>
          <w:rFonts w:ascii="Arial" w:cs="Arial" w:eastAsia="Arial" w:hAnsi="Arial"/>
        </w:rPr>
        <w:t xml:space="preserve">~3–4 development days in Phase B.  Slightly simpler ingest code.</w:t>
      </w:r>
    </w:p>
    <w:p>
      <w:pPr>
        <w:spacing w:after="100" w:line="276"/>
      </w:pPr>
      <w:r>
        <w:rPr>
          <w:rFonts w:ascii="Arial" w:cs="Arial" w:eastAsia="Arial" w:hAnsi="Arial"/>
          <w:b/>
          <w:bCs/>
        </w:rPr>
        <w:t xml:space="preserve">Lost: </w:t>
      </w:r>
      <w:r>
        <w:rPr>
          <w:rFonts w:ascii="Arial" w:cs="Arial" w:eastAsia="Arial" w:hAnsi="Arial"/>
        </w:rPr>
        <w:t xml:space="preserve">Citations cannot say “Cl. Memorial ¶ 47” — they say “Cl. Memorial p. 23, chunk 4.”  Still verifiable via the doc viewer (the link still opens to the right place), but the citation looks engineered rather than natural.  Transcripts especially suffer — “Day 3, 47:12” is the citation form a tribunal recognizes, and uniform chunking loses the line anchor.</w:t>
      </w:r>
    </w:p>
    <w:p>
      <w:pPr>
        <w:spacing w:after="100" w:line="276"/>
      </w:pPr>
      <w:r>
        <w:rPr>
          <w:rFonts w:ascii="Arial" w:cs="Arial" w:eastAsia="Arial" w:hAnsi="Arial"/>
          <w:b/>
          <w:bCs/>
        </w:rPr>
        <w:t xml:space="preserve">Take if: </w:t>
      </w:r>
      <w:r>
        <w:rPr>
          <w:rFonts w:ascii="Arial" w:cs="Arial" w:eastAsia="Arial" w:hAnsi="Arial"/>
        </w:rPr>
        <w:t xml:space="preserve">time‑to‑first‑validation matters more than citation polish, on the theory that you can layer type‑aware chunking in later if Phase G validation flags it as a usability problem.  Tradeoff is that re‑chunking later means re‑embedding (~$6 per matter) and re‑indexing.</w:t>
      </w:r>
    </w:p>
    <w:p>
      <w:pPr>
        <w:pStyle w:val="Heading2"/>
        <w:spacing w:after="140" w:before="280"/>
      </w:pPr>
      <w:r>
        <w:rPr>
          <w:rFonts w:ascii="Arial" w:cs="Arial" w:eastAsia="Arial" w:hAnsi="Arial"/>
          <w:b/>
          <w:bCs/>
          <w:sz w:val="26"/>
          <w:szCs w:val="26"/>
        </w:rPr>
        <w:t xml:space="preserve">9.5  Alternative E — Skip the agentic workflow in v1.5</w:t>
      </w:r>
    </w:p>
    <w:p>
      <w:pPr>
        <w:spacing w:after="100" w:line="276"/>
      </w:pPr>
      <w:r>
        <w:rPr>
          <w:rFonts w:ascii="Arial" w:cs="Arial" w:eastAsia="Arial" w:hAnsi="Arial"/>
          <w:b/>
          <w:bCs/>
        </w:rPr>
        <w:t xml:space="preserve">What changes: </w:t>
      </w:r>
      <w:r>
        <w:rPr>
          <w:rFonts w:ascii="Arial" w:cs="Arial" w:eastAsia="Arial" w:hAnsi="Arial"/>
        </w:rPr>
        <w:t xml:space="preserve">v1.5 ships hybrid + rerank but no templated workflow.</w:t>
      </w:r>
    </w:p>
    <w:p>
      <w:pPr>
        <w:spacing w:after="100" w:line="276"/>
      </w:pPr>
      <w:r>
        <w:rPr>
          <w:rFonts w:ascii="Arial" w:cs="Arial" w:eastAsia="Arial" w:hAnsi="Arial"/>
          <w:b/>
          <w:bCs/>
        </w:rPr>
        <w:t xml:space="preserve">Saved: </w:t>
      </w:r>
      <w:r>
        <w:rPr>
          <w:rFonts w:ascii="Arial" w:cs="Arial" w:eastAsia="Arial" w:hAnsi="Arial"/>
        </w:rPr>
        <w:t xml:space="preserve">1–1.5 weeks of calendar time.</w:t>
      </w:r>
    </w:p>
    <w:p>
      <w:pPr>
        <w:spacing w:after="100" w:line="276"/>
      </w:pPr>
      <w:r>
        <w:rPr>
          <w:rFonts w:ascii="Arial" w:cs="Arial" w:eastAsia="Arial" w:hAnsi="Arial"/>
          <w:b/>
          <w:bCs/>
        </w:rPr>
        <w:t xml:space="preserve">Lost: </w:t>
      </w:r>
      <w:r>
        <w:rPr>
          <w:rFonts w:ascii="Arial" w:cs="Arial" w:eastAsia="Arial" w:hAnsi="Arial"/>
        </w:rPr>
        <w:t xml:space="preserve">Recurring multi‑step tasks (chronological exhibit index, witness inconsistency check) have to be driven from chat each time rather than triggered as a one‑click template.  The underlying capability still exists — the chat tools can do these things — you just lose the polished surface.</w:t>
      </w:r>
    </w:p>
    <w:p>
      <w:pPr>
        <w:spacing w:after="100" w:line="276"/>
      </w:pPr>
      <w:r>
        <w:rPr>
          <w:rFonts w:ascii="Arial" w:cs="Arial" w:eastAsia="Arial" w:hAnsi="Arial"/>
          <w:b/>
          <w:bCs/>
        </w:rPr>
        <w:t xml:space="preserve">Take if: </w:t>
      </w:r>
      <w:r>
        <w:rPr>
          <w:rFonts w:ascii="Arial" w:cs="Arial" w:eastAsia="Arial" w:hAnsi="Arial"/>
        </w:rPr>
        <w:t xml:space="preserve">the validation phase suggests chat‑driven interaction is already covering the recurring tasks, or if a different feature (e.g., tabular review across documents) jumps ahead of agentic workflows in priority.</w:t>
      </w:r>
    </w:p>
    <w:p>
      <w:pPr>
        <w:pStyle w:val="Heading2"/>
        <w:spacing w:after="140" w:before="280"/>
      </w:pPr>
      <w:r>
        <w:rPr>
          <w:rFonts w:ascii="Arial" w:cs="Arial" w:eastAsia="Arial" w:hAnsi="Arial"/>
          <w:b/>
          <w:bCs/>
          <w:sz w:val="26"/>
          <w:szCs w:val="26"/>
        </w:rPr>
        <w:t xml:space="preserve">9.6  Combinations</w:t>
      </w:r>
    </w:p>
    <w:p>
      <w:pPr>
        <w:spacing w:after="100" w:line="276"/>
      </w:pPr>
      <w:r>
        <w:rPr>
          <w:rFonts w:ascii="Arial" w:cs="Arial" w:eastAsia="Arial" w:hAnsi="Arial"/>
          <w:b/>
          <w:bCs/>
        </w:rPr>
        <w:t xml:space="preserve">Aggressive cost‑and‑time floor </w:t>
      </w:r>
      <w:r>
        <w:rPr>
          <w:rFonts w:ascii="Arial" w:cs="Arial" w:eastAsia="Arial" w:hAnsi="Arial"/>
        </w:rPr>
        <w:t xml:space="preserve">(combine A, D, E): build v1 in ~5 weeks instead of 6–7; per‑matter ingest drops to ~$200; v1.5 is hybrid + rerank only, no workflow template.  The core capability — semantic retrieval with verifiable verbatim citations — is intact.  You lose: high‑quality table extraction, paragraph‑precise citation labels, the polished workflow surface.</w:t>
      </w:r>
    </w:p>
    <w:p>
      <w:pPr>
        <w:spacing w:after="100" w:line="276"/>
      </w:pPr>
      <w:r>
        <w:rPr>
          <w:rFonts w:ascii="Arial" w:cs="Arial" w:eastAsia="Arial" w:hAnsi="Arial"/>
          <w:b/>
          <w:bCs/>
        </w:rPr>
        <w:t xml:space="preserve">Validation‑first </w:t>
      </w:r>
      <w:r>
        <w:rPr>
          <w:rFonts w:ascii="Arial" w:cs="Arial" w:eastAsia="Arial" w:hAnsi="Arial"/>
        </w:rPr>
        <w:t xml:space="preserve">(combine D, possibly E): build v1 in ~5.5 weeks with uniform chunking; validate; decide later whether to invest in document‑type‑aware chunking and the first workflow based on what validation surfaces.  Less aggressive on cost but lower risk of building the wrong polish.</w:t>
      </w:r>
    </w:p>
    <w:p>
      <w:pPr>
        <w:spacing w:after="100" w:line="276"/>
      </w:pPr>
      <w:r>
        <w:rPr>
          <w:rFonts w:ascii="Arial" w:cs="Arial" w:eastAsia="Arial" w:hAnsi="Arial"/>
          <w:b/>
          <w:bCs/>
        </w:rPr>
        <w:t xml:space="preserve">Quality‑first </w:t>
      </w:r>
      <w:r>
        <w:rPr>
          <w:rFonts w:ascii="Arial" w:cs="Arial" w:eastAsia="Arial" w:hAnsi="Arial"/>
        </w:rPr>
        <w:t xml:space="preserve">(take none of these alternatives): build the architecture as recommended in §5.  Highest cost, highest time, highest quality on first delivery.  Best for a product‑launch scenario where first impressions matter more than incremental savings.</w:t>
      </w:r>
    </w:p>
    <w:p>
      <w:pPr>
        <w:pStyle w:val="Heading1"/>
        <w:spacing w:after="200" w:before="360"/>
      </w:pPr>
      <w:r>
        <w:rPr>
          <w:rFonts w:ascii="Arial" w:cs="Arial" w:eastAsia="Arial" w:hAnsi="Arial"/>
          <w:b/>
          <w:bCs/>
          <w:sz w:val="32"/>
          <w:szCs w:val="32"/>
        </w:rPr>
        <w:t xml:space="preserve">10.  Risks and open questions</w:t>
      </w:r>
    </w:p>
    <w:p>
      <w:pPr>
        <w:pStyle w:val="Heading2"/>
        <w:spacing w:after="140" w:before="280"/>
      </w:pPr>
      <w:r>
        <w:rPr>
          <w:rFonts w:ascii="Arial" w:cs="Arial" w:eastAsia="Arial" w:hAnsi="Arial"/>
          <w:b/>
          <w:bCs/>
          <w:sz w:val="26"/>
          <w:szCs w:val="26"/>
        </w:rPr>
        <w:t xml:space="preserve">10.1  Risks worth flagging</w:t>
      </w:r>
    </w:p>
    <w:p>
      <w:pPr>
        <w:pStyle w:val="ListParagraph"/>
        <w:numPr>
          <w:ilvl w:val="0"/>
          <w:numId w:val="2"/>
        </w:numPr>
        <w:spacing w:after="60" w:line="276"/>
      </w:pPr>
      <w:r>
        <w:rPr>
          <w:rFonts w:ascii="Arial" w:cs="Arial" w:eastAsia="Arial" w:hAnsi="Arial"/>
          <w:b/>
          <w:bCs/>
        </w:rPr>
        <w:t xml:space="preserve">OCR quality on degraded scans.  </w:t>
      </w:r>
      <w:r>
        <w:rPr>
          <w:rFonts w:ascii="Arial" w:cs="Arial" w:eastAsia="Arial" w:hAnsi="Arial"/>
        </w:rPr>
        <w:t xml:space="preserve">Old arbitration exhibits include faxed copies of faxes, scans of binders, and photographs of physical documents.  Document AI handles these well most of the time but failure modes exist (illegible pages, hand‑annotated diagrams).  Mitigation: surface OCR confidence scores in the doc viewer; allow per‑page manual override.</w:t>
      </w:r>
    </w:p>
    <w:p>
      <w:pPr>
        <w:pStyle w:val="ListParagraph"/>
        <w:numPr>
          <w:ilvl w:val="0"/>
          <w:numId w:val="2"/>
        </w:numPr>
        <w:spacing w:after="60" w:line="276"/>
      </w:pPr>
      <w:r>
        <w:rPr>
          <w:rFonts w:ascii="Arial" w:cs="Arial" w:eastAsia="Arial" w:hAnsi="Arial"/>
          <w:b/>
          <w:bCs/>
        </w:rPr>
        <w:t xml:space="preserve">Wall‑clock ingest time for very large records.  </w:t>
      </w:r>
      <w:r>
        <w:rPr>
          <w:rFonts w:ascii="Arial" w:cs="Arial" w:eastAsia="Arial" w:hAnsi="Arial"/>
        </w:rPr>
        <w:t xml:space="preserve">6–12 hours for 100,000 pages is acceptable for an opening ingest, but if a matter grows by 20,000 pages mid‑case (production rounds), the user expects “refresh” not “overwrite weekend.”  Mitigation: incremental ingest is straightforward to add, just budgeted under v2.</w:t>
      </w:r>
    </w:p>
    <w:p>
      <w:pPr>
        <w:pStyle w:val="ListParagraph"/>
        <w:numPr>
          <w:ilvl w:val="0"/>
          <w:numId w:val="2"/>
        </w:numPr>
        <w:spacing w:after="60" w:line="276"/>
      </w:pPr>
      <w:r>
        <w:rPr>
          <w:rFonts w:ascii="Arial" w:cs="Arial" w:eastAsia="Arial" w:hAnsi="Arial"/>
          <w:b/>
          <w:bCs/>
        </w:rPr>
        <w:t xml:space="preserve">Turbopuffer vendor risk.  </w:t>
      </w:r>
      <w:r>
        <w:rPr>
          <w:rFonts w:ascii="Arial" w:cs="Arial" w:eastAsia="Arial" w:hAnsi="Arial"/>
        </w:rPr>
        <w:t xml:space="preserve">New service; smaller company than the AWS/GCP managed alternatives.  Mitigation: the retrieval interface is abstracted, and the chunk text is also stored in Postgres, so a migration is recoverable.  Still, a vendor outage would degrade Mike’s search until restored.</w:t>
      </w:r>
    </w:p>
    <w:p>
      <w:pPr>
        <w:pStyle w:val="ListParagraph"/>
        <w:numPr>
          <w:ilvl w:val="0"/>
          <w:numId w:val="2"/>
        </w:numPr>
        <w:spacing w:after="60" w:line="276"/>
      </w:pPr>
      <w:r>
        <w:rPr>
          <w:rFonts w:ascii="Arial" w:cs="Arial" w:eastAsia="Arial" w:hAnsi="Arial"/>
          <w:b/>
          <w:bCs/>
        </w:rPr>
        <w:t xml:space="preserve">Cost escalation if usage is heavier than projected.  </w:t>
      </w:r>
      <w:r>
        <w:rPr>
          <w:rFonts w:ascii="Arial" w:cs="Arial" w:eastAsia="Arial" w:hAnsi="Arial"/>
        </w:rPr>
        <w:t xml:space="preserve">Per‑query costs are small, but a power user issuing hundreds of agentic‑workflow runs per day could surprise the budget.  Mitigation: spend‑alerting; per‑matter budget caps; Sonnet default with opt‑in Opus.</w:t>
      </w:r>
    </w:p>
    <w:p>
      <w:pPr>
        <w:pStyle w:val="ListParagraph"/>
        <w:numPr>
          <w:ilvl w:val="0"/>
          <w:numId w:val="2"/>
        </w:numPr>
        <w:spacing w:after="60" w:line="276"/>
      </w:pPr>
      <w:r>
        <w:rPr>
          <w:rFonts w:ascii="Arial" w:cs="Arial" w:eastAsia="Arial" w:hAnsi="Arial"/>
          <w:b/>
          <w:bCs/>
        </w:rPr>
        <w:t xml:space="preserve">Citation‑precision regression in practice.  </w:t>
      </w:r>
      <w:r>
        <w:rPr>
          <w:rFonts w:ascii="Arial" w:cs="Arial" w:eastAsia="Arial" w:hAnsi="Arial"/>
        </w:rPr>
        <w:t xml:space="preserve">Offset‑anchored extraction guarantees the quoted text matches the source, but the surrounding paraphrase can still mischaracterize.  Mitigation: an explicit “this paraphrase summarizes the cited passage(s); click to verify” affordance on every non‑quoted claim.</w:t>
      </w:r>
    </w:p>
    <w:p>
      <w:pPr>
        <w:pStyle w:val="Heading2"/>
        <w:spacing w:after="140" w:before="280"/>
      </w:pPr>
      <w:r>
        <w:rPr>
          <w:rFonts w:ascii="Arial" w:cs="Arial" w:eastAsia="Arial" w:hAnsi="Arial"/>
          <w:b/>
          <w:bCs/>
          <w:sz w:val="26"/>
          <w:szCs w:val="26"/>
        </w:rPr>
        <w:t xml:space="preserve">10.2  Open questions for you to decide before code starts</w:t>
      </w:r>
    </w:p>
    <w:p>
      <w:pPr>
        <w:pStyle w:val="ListParagraph"/>
        <w:numPr>
          <w:ilvl w:val="0"/>
          <w:numId w:val="2"/>
        </w:numPr>
        <w:spacing w:after="60" w:line="276"/>
      </w:pPr>
      <w:r>
        <w:rPr>
          <w:rFonts w:ascii="Arial" w:cs="Arial" w:eastAsia="Arial" w:hAnsi="Arial"/>
          <w:b/>
          <w:bCs/>
        </w:rPr>
        <w:t xml:space="preserve">Vendor confirmation: </w:t>
      </w:r>
      <w:r>
        <w:rPr>
          <w:rFonts w:ascii="Arial" w:cs="Arial" w:eastAsia="Arial" w:hAnsi="Arial"/>
        </w:rPr>
        <w:t xml:space="preserve">approve Turbopuffer + Document AI as new external dependencies.</w:t>
      </w:r>
    </w:p>
    <w:p>
      <w:pPr>
        <w:pStyle w:val="ListParagraph"/>
        <w:numPr>
          <w:ilvl w:val="0"/>
          <w:numId w:val="2"/>
        </w:numPr>
        <w:spacing w:after="60" w:line="276"/>
      </w:pPr>
      <w:r>
        <w:rPr>
          <w:rFonts w:ascii="Arial" w:cs="Arial" w:eastAsia="Arial" w:hAnsi="Arial"/>
          <w:b/>
          <w:bCs/>
        </w:rPr>
        <w:t xml:space="preserve">OCR cost vs.  table fidelity: </w:t>
      </w:r>
      <w:r>
        <w:rPr>
          <w:rFonts w:ascii="Arial" w:cs="Arial" w:eastAsia="Arial" w:hAnsi="Arial"/>
        </w:rPr>
        <w:t xml:space="preserve">default Layout Parser at ~$1,000/matter, or take Alternative A at ~$200/matter and accept table‑quality loss?</w:t>
      </w:r>
    </w:p>
    <w:p>
      <w:pPr>
        <w:pStyle w:val="ListParagraph"/>
        <w:numPr>
          <w:ilvl w:val="0"/>
          <w:numId w:val="2"/>
        </w:numPr>
        <w:spacing w:after="60" w:line="276"/>
      </w:pPr>
      <w:r>
        <w:rPr>
          <w:rFonts w:ascii="Arial" w:cs="Arial" w:eastAsia="Arial" w:hAnsi="Arial"/>
          <w:b/>
          <w:bCs/>
        </w:rPr>
        <w:t xml:space="preserve">Ship v1 with or without hybrid/rerank: </w:t>
      </w:r>
      <w:r>
        <w:rPr>
          <w:rFonts w:ascii="Arial" w:cs="Arial" w:eastAsia="Arial" w:hAnsi="Arial"/>
        </w:rPr>
        <w:t xml:space="preserve">strict validation‑first (recommended) or include hybrid from day one to reduce the v1.5 step?</w:t>
      </w:r>
    </w:p>
    <w:p>
      <w:pPr>
        <w:pStyle w:val="ListParagraph"/>
        <w:numPr>
          <w:ilvl w:val="0"/>
          <w:numId w:val="2"/>
        </w:numPr>
        <w:spacing w:after="60" w:line="276"/>
      </w:pPr>
      <w:r>
        <w:rPr>
          <w:rFonts w:ascii="Arial" w:cs="Arial" w:eastAsia="Arial" w:hAnsi="Arial"/>
          <w:b/>
          <w:bCs/>
        </w:rPr>
        <w:t xml:space="preserve">Historical‑version citations: </w:t>
      </w:r>
      <w:r>
        <w:rPr>
          <w:rFonts w:ascii="Arial" w:cs="Arial" w:eastAsia="Arial" w:hAnsi="Arial"/>
        </w:rPr>
        <w:t xml:space="preserve">when a chat from last week cited “v3 ¶ 47” and the doc is now v5, default to showing the historical text (recommended) or the current text?</w:t>
      </w:r>
    </w:p>
    <w:p>
      <w:pPr>
        <w:pStyle w:val="ListParagraph"/>
        <w:numPr>
          <w:ilvl w:val="0"/>
          <w:numId w:val="2"/>
        </w:numPr>
        <w:spacing w:after="60" w:line="276"/>
      </w:pPr>
      <w:r>
        <w:rPr>
          <w:rFonts w:ascii="Arial" w:cs="Arial" w:eastAsia="Arial" w:hAnsi="Arial"/>
          <w:b/>
          <w:bCs/>
        </w:rPr>
        <w:t xml:space="preserve">First agentic workflow: </w:t>
      </w:r>
      <w:r>
        <w:rPr>
          <w:rFonts w:ascii="Arial" w:cs="Arial" w:eastAsia="Arial" w:hAnsi="Arial"/>
        </w:rPr>
        <w:t xml:space="preserve">when you reach Phase I, which is the highest‑value first workflow for your practice — chronological exhibit index, witness inconsistency check, or timeline‑from‑correspondence?</w:t>
      </w:r>
    </w:p>
    <w:p>
      <w:pPr>
        <w:pStyle w:val="Heading1"/>
        <w:spacing w:after="200" w:before="360"/>
      </w:pPr>
      <w:r>
        <w:rPr>
          <w:rFonts w:ascii="Arial" w:cs="Arial" w:eastAsia="Arial" w:hAnsi="Arial"/>
          <w:b/>
          <w:bCs/>
          <w:sz w:val="32"/>
          <w:szCs w:val="32"/>
        </w:rPr>
        <w:t xml:space="preserve">11.  Recommendation</w:t>
      </w:r>
    </w:p>
    <w:p>
      <w:pPr>
        <w:spacing w:after="100" w:line="276"/>
      </w:pPr>
      <w:r>
        <w:rPr>
          <w:rFonts w:ascii="Arial" w:cs="Arial" w:eastAsia="Arial" w:hAnsi="Arial"/>
        </w:rPr>
        <w:t xml:space="preserve">Build v1 as specified in §5 and §6 — Turbopuffer as the vector store, Document AI Layout Parser as the OCR engine, Voyage voyage‑law‑2 for embeddings, document‑type‑aware chunking, offset‑anchored citations, vector‑only retrieval, and a clickable citation UI.  Plan on ~6–7 calendar weeks and roughly $1,500 of build‑time spend through the Phase G validation ingest.</w:t>
      </w:r>
    </w:p>
    <w:p>
      <w:pPr>
        <w:spacing w:after="100" w:line="276"/>
      </w:pPr>
      <w:r>
        <w:rPr>
          <w:rFonts w:ascii="Arial" w:cs="Arial" w:eastAsia="Arial" w:hAnsi="Arial"/>
        </w:rPr>
        <w:t xml:space="preserve">After Phase G validation on a real arbitration, make three decisions based on what the validation reveals:</w:t>
      </w:r>
    </w:p>
    <w:p>
      <w:pPr>
        <w:pStyle w:val="ListParagraph"/>
        <w:numPr>
          <w:ilvl w:val="0"/>
          <w:numId w:val="5"/>
        </w:numPr>
        <w:spacing w:after="60" w:line="276"/>
      </w:pPr>
      <w:r>
        <w:rPr>
          <w:rFonts w:ascii="Arial" w:cs="Arial" w:eastAsia="Arial" w:hAnsi="Arial"/>
          <w:b/>
          <w:bCs/>
        </w:rPr>
        <w:t xml:space="preserve">Hybrid + rerank: </w:t>
      </w:r>
      <w:r>
        <w:rPr>
          <w:rFonts w:ascii="Arial" w:cs="Arial" w:eastAsia="Arial" w:hAnsi="Arial"/>
        </w:rPr>
        <w:t xml:space="preserve">if vector‑only is hitting the precision and recall the queries demand, take Alternative B and ship v1.5 without the reranker.  If validation shows visible misses, build phase H as specified.</w:t>
      </w:r>
    </w:p>
    <w:p>
      <w:pPr>
        <w:pStyle w:val="ListParagraph"/>
        <w:numPr>
          <w:ilvl w:val="0"/>
          <w:numId w:val="5"/>
        </w:numPr>
        <w:spacing w:after="60" w:line="276"/>
      </w:pPr>
      <w:r>
        <w:rPr>
          <w:rFonts w:ascii="Arial" w:cs="Arial" w:eastAsia="Arial" w:hAnsi="Arial"/>
          <w:b/>
          <w:bCs/>
        </w:rPr>
        <w:t xml:space="preserve">First workflow: </w:t>
      </w:r>
      <w:r>
        <w:rPr>
          <w:rFonts w:ascii="Arial" w:cs="Arial" w:eastAsia="Arial" w:hAnsi="Arial"/>
        </w:rPr>
        <w:t xml:space="preserve">pick the workflow whose absence was most painful during validation.  Build it as Phase I.  Skip if no workflow felt obviously missing.</w:t>
      </w:r>
    </w:p>
    <w:p>
      <w:pPr>
        <w:pStyle w:val="ListParagraph"/>
        <w:numPr>
          <w:ilvl w:val="0"/>
          <w:numId w:val="5"/>
        </w:numPr>
        <w:spacing w:after="60" w:line="276"/>
      </w:pPr>
      <w:r>
        <w:rPr>
          <w:rFonts w:ascii="Arial" w:cs="Arial" w:eastAsia="Arial" w:hAnsi="Arial"/>
          <w:b/>
          <w:bCs/>
        </w:rPr>
        <w:t xml:space="preserve">OCR tier: </w:t>
      </w:r>
      <w:r>
        <w:rPr>
          <w:rFonts w:ascii="Arial" w:cs="Arial" w:eastAsia="Arial" w:hAnsi="Arial"/>
        </w:rPr>
        <w:t xml:space="preserve">if Layout Parser cost is meaningfully painful at $1,000/matter and your practice tilts prose‑heavy, switch to Alternative A and re‑ingest with text‑only OCR.  Re‑ingest is cheap (~$150 in new OCR, ~$6 in re‑embedding).</w:t>
      </w:r>
    </w:p>
    <w:p>
      <w:pPr>
        <w:spacing w:after="100" w:line="276"/>
      </w:pPr>
      <w:r>
        <w:rPr>
          <w:rFonts w:ascii="Arial" w:cs="Arial" w:eastAsia="Arial" w:hAnsi="Arial"/>
        </w:rPr>
        <w:t xml:space="preserve">The single most important call is to do Phase G honestly.  Ingest a real arbitration, run twenty real queries from real work, look at the citations a tribunal would see if you actually used the output.  The decisions in v1.5 should be made from evidence, not from the predictions in this document.</w:t>
      </w:r>
    </w:p>
    <w:p>
      <w:pPr>
        <w:spacing w:after="100" w:line="276"/>
      </w:pPr>
      <w:r>
        <w:rPr>
          <w:rFonts w:ascii="Arial" w:cs="Arial" w:eastAsia="Arial" w:hAnsi="Arial"/>
          <w:b/>
          <w:bCs/>
        </w:rPr>
        <w:t xml:space="preserve">Next step: </w:t>
      </w:r>
      <w:r>
        <w:rPr>
          <w:rFonts w:ascii="Arial" w:cs="Arial" w:eastAsia="Arial" w:hAnsi="Arial"/>
        </w:rPr>
        <w:t xml:space="preserve">once you confirm the assumptions in §6.2 of the underlying architecture review, a follow‑on session can be authorized to begin Phase A (foundations).  No production database writes, no Railway image changes, no live infrastructure mutations happen until you sign off on this plan.</w:t>
      </w:r>
    </w:p>
    <w:p>
      <w:pPr>
        <w:spacing w:after="100" w:line="276"/>
      </w:pPr>
      <w:r>
        <w:rPr>
          <w:rFonts w:ascii="Arial" w:cs="Arial" w:eastAsia="Arial" w:hAnsi="Arial"/>
          <w:i/>
          <w:iCs/>
        </w:rPr>
        <w:t xml:space="preserve">Source: this document summarizes the technical architecture review at “docs/cc-runs/2026-05-27-mike-vector-architecture-review.md”.  Refer to that document for the full reasoning behind each decision, the 11 originally posed open questions and their decisional answers, and the verified state of the current codebase as of 2026-05-27.</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Mike Vector Retrieval — Architecture Recommendation  |  </w:t>
    </w: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A68"/>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F3A68"/>
      <w:sz w:val="26"/>
      <w:szCs w:val="26"/>
    </w:rPr>
  </w:style>
  <w:style w:type="paragraph" w:styleId="Heading3">
    <w:name w:val="Heading 3"/>
    <w:basedOn w:val="Normal"/>
    <w:next w:val="Normal"/>
    <w:qFormat/>
    <w:pPr>
      <w:spacing w:after="100" w:before="2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Mike Vector Retrieval — Architecture Recommendation</dc:title>
  <dc:creator>Claude (Mike architecture review)</dc:creator>
  <cp:lastModifiedBy>Un-named</cp:lastModifiedBy>
  <cp:revision>1</cp:revision>
  <dcterms:created xsi:type="dcterms:W3CDTF">2026-05-27T21:44:27.441Z</dcterms:created>
  <dcterms:modified xsi:type="dcterms:W3CDTF">2026-05-27T21:44:27.441Z</dcterms:modified>
</cp:coreProperties>
</file>

<file path=docProps/custom.xml><?xml version="1.0" encoding="utf-8"?>
<Properties xmlns="http://schemas.openxmlformats.org/officeDocument/2006/custom-properties" xmlns:vt="http://schemas.openxmlformats.org/officeDocument/2006/docPropsVTypes"/>
</file>