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95BF6">
      <w:pPr>
        <w:pStyle w:val="2"/>
        <w:jc w:val="both"/>
        <w:rPr>
          <w:rFonts w:hint="default" w:ascii="Times New Roman" w:hAnsi="Times New Roman Regular" w:cs="Times New Roman Regular"/>
          <w:color w:val="auto"/>
          <w:lang w:val="vi-VN"/>
        </w:rPr>
      </w:pPr>
      <w:bookmarkStart w:id="0" w:name="X3eca5eba8607f712fe195371b11db8df7461797"/>
      <w:r>
        <w:rPr>
          <w:rFonts w:hint="default" w:ascii="Times New Roman Regular" w:hAnsi="Times New Roman Regular" w:cs="Times New Roman Regular"/>
          <w:color w:val="auto"/>
        </w:rPr>
        <w:t>THUYẾT MINH MÔ HÌNH TRIỂN KHAI VÀ VẬN HÀNH</w:t>
      </w:r>
      <w:r>
        <w:rPr>
          <w:rFonts w:hint="default" w:ascii="Times New Roman" w:hAnsi="Times New Roman Regular" w:cs="Times New Roman Regular"/>
          <w:color w:val="auto"/>
          <w:lang w:val="vi-VN"/>
        </w:rPr>
        <w:t xml:space="preserve"> </w:t>
      </w:r>
    </w:p>
    <w:p w14:paraId="0D304BF5">
      <w:pPr>
        <w:pStyle w:val="2"/>
        <w:jc w:val="both"/>
        <w:rPr>
          <w:rFonts w:hint="default" w:ascii="Times New Roman Regular" w:hAnsi="Times New Roman Regular" w:cs="Times New Roman Regular"/>
          <w:color w:val="auto"/>
          <w:lang w:val="vi-VN"/>
        </w:rPr>
      </w:pPr>
      <w:r>
        <w:rPr>
          <w:rFonts w:hint="default" w:ascii="Times New Roman" w:hAnsi="Times New Roman Regular" w:cs="Times New Roman Regular"/>
          <w:color w:val="auto"/>
          <w:lang w:val="vi-VN"/>
        </w:rPr>
        <w:t xml:space="preserve">(tài liệu viết thêm ngoài BCNCKT, </w:t>
      </w:r>
      <w:r>
        <w:rPr>
          <w:rFonts w:hint="default" w:ascii="Times New Roman" w:hAnsi="Times New Roman Regular" w:cs="Times New Roman Regular"/>
          <w:color w:val="auto"/>
          <w:lang w:val="vi-VN"/>
        </w:rPr>
        <w:t>TKCS</w:t>
      </w:r>
      <w:r>
        <w:rPr>
          <w:rFonts w:hint="default" w:ascii="Times New Roman" w:hAnsi="Times New Roman Regular" w:cs="Times New Roman Regular"/>
          <w:color w:val="auto"/>
          <w:lang w:val="vi-VN"/>
        </w:rPr>
        <w:t>)</w:t>
      </w:r>
    </w:p>
    <w:p w14:paraId="73A6660F">
      <w:pPr>
        <w:pStyle w:val="4"/>
        <w:jc w:val="both"/>
        <w:rPr>
          <w:rFonts w:hint="default" w:ascii="Times New Roman Regular" w:hAnsi="Times New Roman Regular" w:cs="Times New Roman Regular"/>
          <w:color w:val="auto"/>
          <w:lang w:val="vi-VN"/>
        </w:rPr>
      </w:pPr>
      <w:bookmarkStart w:id="1" w:name="Xf277672bfcf2327497af056b1270b0df37a8de0"/>
      <w:r>
        <w:rPr>
          <w:rFonts w:hint="default" w:ascii="Times New Roman Regular" w:hAnsi="Times New Roman Regular" w:cs="Times New Roman Regular"/>
          <w:color w:val="auto"/>
        </w:rPr>
        <w:t xml:space="preserve">Hệ </w:t>
      </w:r>
      <w:r>
        <w:rPr>
          <w:rFonts w:hint="default" w:ascii="Times New Roman" w:hAnsi="Times New Roman Regular" w:cs="Times New Roman Regular"/>
          <w:color w:val="auto"/>
          <w:lang w:val="vi-VN"/>
        </w:rPr>
        <w:t>t</w:t>
      </w:r>
      <w:r>
        <w:rPr>
          <w:rFonts w:hint="default" w:ascii="Times New Roman Regular" w:hAnsi="Times New Roman Regular" w:cs="Times New Roman Regular"/>
          <w:color w:val="auto"/>
        </w:rPr>
        <w:t xml:space="preserve">hống </w:t>
      </w:r>
      <w:r>
        <w:rPr>
          <w:rFonts w:hint="default" w:ascii="Times New Roman" w:hAnsi="Times New Roman Regular" w:cs="Times New Roman Regular"/>
          <w:color w:val="auto"/>
          <w:lang w:val="vi-VN"/>
        </w:rPr>
        <w:t>t</w:t>
      </w:r>
      <w:r>
        <w:rPr>
          <w:rFonts w:hint="default" w:ascii="Times New Roman Regular" w:hAnsi="Times New Roman Regular" w:cs="Times New Roman Regular"/>
          <w:color w:val="auto"/>
        </w:rPr>
        <w:t xml:space="preserve">ruy </w:t>
      </w:r>
      <w:r>
        <w:rPr>
          <w:rFonts w:hint="default" w:ascii="Times New Roman" w:hAnsi="Times New Roman Regular" w:cs="Times New Roman Regular"/>
          <w:color w:val="auto"/>
          <w:lang w:val="vi-VN"/>
        </w:rPr>
        <w:t>x</w:t>
      </w:r>
      <w:r>
        <w:rPr>
          <w:rFonts w:hint="default" w:ascii="Times New Roman Regular" w:hAnsi="Times New Roman Regular" w:cs="Times New Roman Regular"/>
          <w:color w:val="auto"/>
        </w:rPr>
        <w:t xml:space="preserve">uất </w:t>
      </w:r>
      <w:r>
        <w:rPr>
          <w:rFonts w:hint="default" w:ascii="Times New Roman" w:hAnsi="Times New Roman Regular" w:cs="Times New Roman Regular"/>
          <w:color w:val="auto"/>
          <w:lang w:val="vi-VN"/>
        </w:rPr>
        <w:t>n</w:t>
      </w:r>
      <w:r>
        <w:rPr>
          <w:rFonts w:hint="default" w:ascii="Times New Roman Regular" w:hAnsi="Times New Roman Regular" w:cs="Times New Roman Regular"/>
          <w:color w:val="auto"/>
        </w:rPr>
        <w:t xml:space="preserve">guồn </w:t>
      </w:r>
      <w:r>
        <w:rPr>
          <w:rFonts w:hint="default" w:ascii="Times New Roman" w:hAnsi="Times New Roman Regular" w:cs="Times New Roman Regular"/>
          <w:color w:val="auto"/>
          <w:lang w:val="vi-VN"/>
        </w:rPr>
        <w:t>g</w:t>
      </w:r>
      <w:r>
        <w:rPr>
          <w:rFonts w:hint="default" w:ascii="Times New Roman Regular" w:hAnsi="Times New Roman Regular" w:cs="Times New Roman Regular"/>
          <w:color w:val="auto"/>
        </w:rPr>
        <w:t xml:space="preserve">ốc </w:t>
      </w:r>
      <w:r>
        <w:rPr>
          <w:rFonts w:hint="default" w:ascii="Times New Roman" w:hAnsi="Times New Roman Regular" w:cs="Times New Roman Regular"/>
          <w:color w:val="auto"/>
          <w:lang w:val="vi-VN"/>
        </w:rPr>
        <w:t>h</w:t>
      </w:r>
      <w:r>
        <w:rPr>
          <w:rFonts w:hint="default" w:ascii="Times New Roman Regular" w:hAnsi="Times New Roman Regular" w:cs="Times New Roman Regular"/>
          <w:color w:val="auto"/>
        </w:rPr>
        <w:t xml:space="preserve">àng </w:t>
      </w:r>
      <w:r>
        <w:rPr>
          <w:rFonts w:hint="default" w:ascii="Times New Roman" w:hAnsi="Times New Roman Regular" w:cs="Times New Roman Regular"/>
          <w:color w:val="auto"/>
          <w:lang w:val="vi-VN"/>
        </w:rPr>
        <w:t>h</w:t>
      </w:r>
      <w:r>
        <w:rPr>
          <w:rFonts w:hint="default" w:ascii="Times New Roman Regular" w:hAnsi="Times New Roman Regular" w:cs="Times New Roman Regular"/>
          <w:color w:val="auto"/>
        </w:rPr>
        <w:t>óa</w:t>
      </w:r>
      <w:r>
        <w:rPr>
          <w:rFonts w:hint="default" w:ascii="Times New Roman" w:hAnsi="Times New Roman Regular" w:cs="Times New Roman Regular"/>
          <w:color w:val="auto"/>
          <w:lang w:val="vi-VN"/>
        </w:rPr>
        <w:t xml:space="preserve"> </w:t>
      </w:r>
      <w:r>
        <w:rPr>
          <w:rFonts w:hint="default" w:ascii="Times New Roman Regular" w:hAnsi="Times New Roman Regular" w:cs="Times New Roman Regular"/>
          <w:color w:val="auto"/>
        </w:rPr>
        <w:t>(VeriGoods++)</w:t>
      </w:r>
      <w:r>
        <w:rPr>
          <w:rFonts w:hint="default" w:ascii="Times New Roman" w:hAnsi="Times New Roman Regular" w:cs="Times New Roman Regular"/>
          <w:color w:val="auto"/>
          <w:lang w:val="vi-VN"/>
        </w:rPr>
        <w:t xml:space="preserve"> sau khi go live</w:t>
      </w:r>
    </w:p>
    <w:p w14:paraId="2D806307">
      <w:pPr>
        <w:jc w:val="both"/>
        <w:rPr>
          <w:rFonts w:hint="default" w:ascii="Times New Roman Regular" w:hAnsi="Times New Roman Regular" w:cs="Times New Roman Regular"/>
          <w:color w:val="auto"/>
        </w:rPr>
      </w:pPr>
      <w:bookmarkStart w:id="2" w:name="sau-khi-go-live"/>
      <w:r>
        <w:rPr>
          <w:rFonts w:hint="default" w:ascii="Times New Roman Regular" w:hAnsi="Times New Roman Regular" w:cs="Times New Roman Regular"/>
          <w:color w:val="auto"/>
        </w:rPr>
        <w:pict>
          <v:rect id="_x0000_i1025" o:spt="1" style="height:1.5pt;width:0pt;" coordsize="21600,21600" o:hr="t" o:hrstd="t" o:hralign="center">
            <v:path/>
            <v:fill focussize="0,0"/>
            <v:stroke/>
            <v:imagedata o:title=""/>
            <o:lock v:ext="edit"/>
            <w10:wrap type="none"/>
            <w10:anchorlock/>
          </v:rect>
        </w:pict>
      </w:r>
    </w:p>
    <w:bookmarkEnd w:id="1"/>
    <w:bookmarkEnd w:id="2"/>
    <w:p w14:paraId="1F2B3C46">
      <w:pPr>
        <w:pStyle w:val="4"/>
        <w:jc w:val="both"/>
        <w:rPr>
          <w:rFonts w:hint="default" w:ascii="Times New Roman Regular" w:hAnsi="Times New Roman Regular" w:cs="Times New Roman Regular"/>
          <w:color w:val="auto"/>
        </w:rPr>
      </w:pPr>
      <w:bookmarkStart w:id="3" w:name="tổng-quan-mô-hình-vận-hành-sau-go-live"/>
      <w:r>
        <w:rPr>
          <w:rFonts w:hint="default" w:ascii="Times New Roman Regular" w:hAnsi="Times New Roman Regular" w:cs="Times New Roman Regular"/>
          <w:color w:val="auto"/>
        </w:rPr>
        <w:t>1. TỔNG QUAN MÔ HÌNH VẬN HÀNH SAU GO-LIVE</w:t>
      </w:r>
    </w:p>
    <w:p w14:paraId="78901354">
      <w:pPr>
        <w:pStyle w:val="24"/>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Hệ thống </w:t>
      </w:r>
      <w:r>
        <w:rPr>
          <w:rFonts w:hint="default" w:ascii="Times New Roman Regular" w:hAnsi="Times New Roman Regular" w:cs="Times New Roman Regular"/>
          <w:b/>
          <w:bCs/>
          <w:color w:val="auto"/>
        </w:rPr>
        <w:t>VeriGoods++</w:t>
      </w:r>
      <w:r>
        <w:rPr>
          <w:rFonts w:hint="default" w:ascii="Times New Roman Regular" w:hAnsi="Times New Roman Regular" w:cs="Times New Roman Regular"/>
          <w:color w:val="auto"/>
        </w:rPr>
        <w:t xml:space="preserve"> (kế thừa và nâng cấp từ VeriGoods) là nền tảng truy xuất nguồn gốc hàng hóa quốc gia do </w:t>
      </w:r>
      <w:r>
        <w:rPr>
          <w:rFonts w:hint="default" w:ascii="Times New Roman Regular" w:hAnsi="Times New Roman Regular" w:cs="Times New Roman Regular"/>
          <w:b/>
          <w:bCs/>
          <w:color w:val="auto"/>
        </w:rPr>
        <w:t>Bộ Công Thương – Cục Quản lý và Phát triển Thị trường trong nước (CQL&amp;PTTTTN)</w:t>
      </w:r>
      <w:r>
        <w:rPr>
          <w:rFonts w:hint="default" w:ascii="Times New Roman Regular" w:hAnsi="Times New Roman Regular" w:cs="Times New Roman Regular"/>
          <w:color w:val="auto"/>
        </w:rPr>
        <w:t xml:space="preserve"> làm chủ đầu tư và vận hành. Hệ thống được triển khai theo mô hình tập trung, tuân thủ chuẩn </w:t>
      </w:r>
      <w:r>
        <w:rPr>
          <w:rFonts w:hint="default" w:ascii="Times New Roman Regular" w:hAnsi="Times New Roman Regular" w:cs="Times New Roman Regular"/>
          <w:b/>
          <w:bCs/>
          <w:color w:val="auto"/>
        </w:rPr>
        <w:t>EPCIS 2.0 (ISO/IEC 19987:2024)</w:t>
      </w:r>
      <w:r>
        <w:rPr>
          <w:rFonts w:hint="default" w:ascii="Times New Roman" w:hAnsi="Times New Roman Regular" w:cs="Times New Roman Regular"/>
          <w:color w:val="auto"/>
          <w:lang w:val="vi-VN"/>
        </w:rPr>
        <w:t xml:space="preserve">, </w:t>
      </w:r>
      <w:r>
        <w:rPr>
          <w:rFonts w:hint="default" w:ascii="Times New Roman Regular" w:hAnsi="Times New Roman Regular"/>
          <w:color w:val="auto"/>
        </w:rPr>
        <w:t>tích hợp với hạ tầng định danh và dữ liệu quốc gia qua NDOP/AgentNode để đồng bộ mã UID sản phẩm do NDA Trace cấp</w:t>
      </w:r>
      <w:r>
        <w:rPr>
          <w:rFonts w:hint="default" w:ascii="Times New Roman Regular" w:hAnsi="Times New Roman Regular" w:cs="Times New Roman Regular"/>
          <w:color w:val="auto"/>
        </w:rPr>
        <w:t>.</w:t>
      </w:r>
    </w:p>
    <w:p w14:paraId="0972FBFF">
      <w:p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pict>
          <v:rect id="_x0000_i1026" o:spt="1" style="height:1.5pt;width:0pt;" coordsize="21600,21600" o:hr="t" o:hrstd="t" o:hralign="center">
            <v:path/>
            <v:fill focussize="0,0"/>
            <v:stroke/>
            <v:imagedata o:title=""/>
            <o:lock v:ext="edit"/>
            <w10:wrap type="none"/>
            <w10:anchorlock/>
          </v:rect>
        </w:pict>
      </w:r>
    </w:p>
    <w:bookmarkEnd w:id="3"/>
    <w:p w14:paraId="3A0FB604">
      <w:pPr>
        <w:pStyle w:val="4"/>
        <w:jc w:val="both"/>
        <w:rPr>
          <w:rFonts w:hint="default" w:ascii="Times New Roman Regular" w:hAnsi="Times New Roman Regular" w:cs="Times New Roman Regular"/>
          <w:color w:val="auto"/>
        </w:rPr>
      </w:pPr>
      <w:bookmarkStart w:id="4" w:name="X1ff5fe2584a1a555480ade42260bea8c9f9a289"/>
      <w:r>
        <w:rPr>
          <w:rFonts w:hint="default" w:ascii="Times New Roman Regular" w:hAnsi="Times New Roman Regular" w:cs="Times New Roman Regular"/>
          <w:color w:val="auto"/>
        </w:rPr>
        <w:t>2. VAI TRÒ CỦA CỤC QUẢN LÝ VÀ PHÁT TRIỂN THỊ TRƯỜNG TRONG NƯỚC (CQL&amp;PTTTTN)</w:t>
      </w:r>
    </w:p>
    <w:p w14:paraId="4C742C0D">
      <w:pPr>
        <w:pStyle w:val="24"/>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Cục CQL&amp;PTTTTN là </w:t>
      </w:r>
      <w:r>
        <w:rPr>
          <w:rFonts w:hint="default" w:ascii="Times New Roman Regular" w:hAnsi="Times New Roman Regular" w:cs="Times New Roman Regular"/>
          <w:b/>
          <w:bCs/>
          <w:color w:val="auto"/>
        </w:rPr>
        <w:t>cơ quan chủ quản, vận hành và giám sát</w:t>
      </w:r>
      <w:r>
        <w:rPr>
          <w:rFonts w:hint="default" w:ascii="Times New Roman Regular" w:hAnsi="Times New Roman Regular" w:cs="Times New Roman Regular"/>
          <w:color w:val="auto"/>
        </w:rPr>
        <w:t xml:space="preserve"> toàn bộ hệ thống sau go-live, với các vai trò cụ thể:</w:t>
      </w:r>
    </w:p>
    <w:p w14:paraId="1FFC3F0A">
      <w:pPr>
        <w:pStyle w:val="5"/>
        <w:jc w:val="both"/>
        <w:rPr>
          <w:rFonts w:hint="default" w:ascii="Times New Roman Regular" w:hAnsi="Times New Roman Regular" w:cs="Times New Roman Regular"/>
          <w:color w:val="auto"/>
        </w:rPr>
      </w:pPr>
      <w:bookmarkStart w:id="5" w:name="vai-trò-quản-lý-nhà-nước"/>
      <w:r>
        <w:rPr>
          <w:rFonts w:hint="default" w:ascii="Times New Roman Regular" w:hAnsi="Times New Roman Regular" w:cs="Times New Roman Regular"/>
          <w:color w:val="auto"/>
        </w:rPr>
        <w:t>2.1 Vai trò quản lý nhà nước</w:t>
      </w:r>
    </w:p>
    <w:p w14:paraId="15532D03">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Chủ đầu tư</w:t>
      </w:r>
      <w:r>
        <w:rPr>
          <w:rFonts w:hint="default" w:ascii="Times New Roman Regular" w:hAnsi="Times New Roman Regular" w:cs="Times New Roman Regular"/>
          <w:color w:val="auto"/>
        </w:rPr>
        <w:t>: Toàn quyền quản lý, khai thác hệ thống VeriGoods++ từ giai đoạn chuẩn bị đến vận hành.</w:t>
      </w:r>
    </w:p>
    <w:p w14:paraId="7CA73A24">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Cơ quan quản lý truy xuất nguồn gốc</w:t>
      </w:r>
      <w:r>
        <w:rPr>
          <w:rFonts w:hint="default" w:ascii="Times New Roman Regular" w:hAnsi="Times New Roman Regular" w:cs="Times New Roman Regular"/>
          <w:color w:val="auto"/>
        </w:rPr>
        <w:t>: Xây dựng, ban hành và hướng dẫn thực hiện các quy định về truy xuất nguồn gốc theo Thông tư BCT</w:t>
      </w:r>
      <w:r>
        <w:rPr>
          <w:rFonts w:hint="default" w:ascii="Times New Roman" w:hAnsi="Times New Roman Regular" w:cs="Times New Roman Regular"/>
          <w:color w:val="auto"/>
          <w:lang w:val="vi-VN"/>
        </w:rPr>
        <w:t xml:space="preserve"> (dự thảo)</w:t>
      </w:r>
      <w:r>
        <w:rPr>
          <w:rFonts w:hint="default" w:ascii="Times New Roman Regular" w:hAnsi="Times New Roman Regular" w:cs="Times New Roman Regular"/>
          <w:color w:val="auto"/>
        </w:rPr>
        <w:t>.</w:t>
      </w:r>
    </w:p>
    <w:p w14:paraId="1740158A">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Đơn vị thẩm định và phê duyệt</w:t>
      </w:r>
      <w:r>
        <w:rPr>
          <w:rFonts w:hint="default" w:ascii="Times New Roman Regular" w:hAnsi="Times New Roman Regular" w:cs="Times New Roman Regular"/>
          <w:color w:val="auto"/>
        </w:rPr>
        <w:t>: Thẩm định hồ sơ doanh nghiệp, phê duyệt đăng ký sản phẩm trên hệ thống.</w:t>
      </w:r>
    </w:p>
    <w:bookmarkEnd w:id="5"/>
    <w:p w14:paraId="3F54578F">
      <w:pPr>
        <w:pStyle w:val="5"/>
        <w:jc w:val="both"/>
        <w:rPr>
          <w:rFonts w:hint="default" w:ascii="Times New Roman Regular" w:hAnsi="Times New Roman Regular" w:cs="Times New Roman Regular"/>
          <w:color w:val="auto"/>
        </w:rPr>
      </w:pPr>
      <w:bookmarkStart w:id="6" w:name="vai-trò-vận-hành-hệ-thống-kỹ-thuật"/>
      <w:r>
        <w:rPr>
          <w:rFonts w:hint="default" w:ascii="Times New Roman Regular" w:hAnsi="Times New Roman Regular" w:cs="Times New Roman Regular"/>
          <w:color w:val="auto"/>
        </w:rPr>
        <w:t>2.2 Vai trò vận hành hệ thống kỹ thuật</w:t>
      </w:r>
    </w:p>
    <w:p w14:paraId="562180CA">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Chủ trì </w:t>
      </w:r>
      <w:r>
        <w:rPr>
          <w:rFonts w:hint="default" w:ascii="Times New Roman Regular" w:hAnsi="Times New Roman Regular" w:cs="Times New Roman Regular"/>
          <w:b/>
          <w:bCs/>
          <w:color w:val="auto"/>
        </w:rPr>
        <w:t>xây dựng, quản lý, vận hành và phát triển</w:t>
      </w:r>
      <w:r>
        <w:rPr>
          <w:rFonts w:hint="default" w:ascii="Times New Roman Regular" w:hAnsi="Times New Roman Regular" w:cs="Times New Roman Regular"/>
          <w:color w:val="auto"/>
        </w:rPr>
        <w:t xml:space="preserve"> Hệ thống truy xuất nguồn gốc hàng hóa của Bộ Công Thương (verigoods.vn).</w:t>
      </w:r>
    </w:p>
    <w:p w14:paraId="2B3B1034">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Đảm bảo </w:t>
      </w:r>
      <w:r>
        <w:rPr>
          <w:rFonts w:hint="default" w:ascii="Times New Roman Regular" w:hAnsi="Times New Roman Regular" w:cs="Times New Roman Regular"/>
          <w:b/>
          <w:bCs/>
          <w:color w:val="auto"/>
        </w:rPr>
        <w:t>liên thông, đồng bộ dữ liệu</w:t>
      </w:r>
      <w:r>
        <w:rPr>
          <w:rFonts w:hint="default" w:ascii="Times New Roman Regular" w:hAnsi="Times New Roman Regular" w:cs="Times New Roman Regular"/>
          <w:color w:val="auto"/>
        </w:rPr>
        <w:t xml:space="preserve"> với Cổng thông tin truy xuất nguồn gốc sản phẩm, hàng hóa Quốc gia.</w:t>
      </w:r>
    </w:p>
    <w:p w14:paraId="583A87F8">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Duy trì </w:t>
      </w:r>
      <w:r>
        <w:rPr>
          <w:rFonts w:hint="default" w:ascii="Times New Roman Regular" w:hAnsi="Times New Roman Regular" w:cs="Times New Roman Regular"/>
          <w:b/>
          <w:bCs/>
          <w:color w:val="auto"/>
        </w:rPr>
        <w:t>hạ tầng Data Cente</w:t>
      </w:r>
      <w:r>
        <w:rPr>
          <w:rFonts w:hint="default" w:ascii="Times New Roman" w:hAnsi="Times New Roman Regular" w:cs="Times New Roman Regular"/>
          <w:b/>
          <w:bCs/>
          <w:color w:val="auto"/>
          <w:lang w:val="vi-VN"/>
        </w:rPr>
        <w:t>r</w:t>
      </w:r>
      <w:r>
        <w:rPr>
          <w:rFonts w:hint="default" w:ascii="Times New Roman Regular" w:hAnsi="Times New Roman Regular" w:cs="Times New Roman Regular"/>
          <w:color w:val="auto"/>
        </w:rPr>
        <w:t>.</w:t>
      </w:r>
    </w:p>
    <w:p w14:paraId="67D8A387">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Quản lý kết nối với </w:t>
      </w:r>
      <w:r>
        <w:rPr>
          <w:rFonts w:hint="default" w:ascii="Times New Roman Regular" w:hAnsi="Times New Roman Regular" w:cs="Times New Roman Regular"/>
          <w:b/>
          <w:bCs/>
          <w:color w:val="auto"/>
        </w:rPr>
        <w:t>Nền tảng NDOP + AgentNode</w:t>
      </w:r>
      <w:r>
        <w:rPr>
          <w:rFonts w:hint="default" w:ascii="Times New Roman Regular" w:hAnsi="Times New Roman Regular" w:cs="Times New Roman Regular"/>
          <w:color w:val="auto"/>
        </w:rPr>
        <w:t xml:space="preserve"> của Bộ Công an (BCA/C12) để cấp và đồng bộ mã UID/DID sản phẩm.</w:t>
      </w:r>
    </w:p>
    <w:bookmarkEnd w:id="6"/>
    <w:p w14:paraId="2FBF6692">
      <w:pPr>
        <w:pStyle w:val="5"/>
        <w:jc w:val="both"/>
        <w:rPr>
          <w:rFonts w:hint="default" w:ascii="Times New Roman Regular" w:hAnsi="Times New Roman Regular" w:cs="Times New Roman Regular"/>
          <w:color w:val="auto"/>
        </w:rPr>
      </w:pPr>
      <w:bookmarkStart w:id="7" w:name="vai-trò-giám-sát-thị-trường"/>
      <w:r>
        <w:rPr>
          <w:rFonts w:hint="default" w:ascii="Times New Roman Regular" w:hAnsi="Times New Roman Regular" w:cs="Times New Roman Regular"/>
          <w:color w:val="auto"/>
        </w:rPr>
        <w:t>2.3 Vai trò giám sát thị trường</w:t>
      </w:r>
    </w:p>
    <w:p w14:paraId="36989203">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Hậu kiểm</w:t>
      </w:r>
      <w:r>
        <w:rPr>
          <w:rFonts w:hint="default" w:ascii="Times New Roman Regular" w:hAnsi="Times New Roman Regular" w:cs="Times New Roman Regular"/>
          <w:color w:val="auto"/>
        </w:rPr>
        <w:t xml:space="preserve"> thông qua Cán bộ Quản lý thị trường (QLTT): Phát hiện vi phạm, điều tra, xử lý qua các module </w:t>
      </w:r>
      <w:r>
        <w:rPr>
          <w:rFonts w:hint="default" w:ascii="Times New Roman" w:hAnsi="Times New Roman Regular" w:cs="Times New Roman Regular"/>
          <w:color w:val="auto"/>
          <w:lang w:val="vi-VN"/>
        </w:rPr>
        <w:t>Quản lý rủi ro</w:t>
      </w:r>
      <w:r>
        <w:rPr>
          <w:rFonts w:hint="default" w:ascii="Times New Roman Regular" w:hAnsi="Times New Roman Regular" w:cs="Times New Roman Regular"/>
          <w:color w:val="auto"/>
        </w:rPr>
        <w:t>, Dashboard QLTT, vi phạm &amp; thu hồi.</w:t>
      </w:r>
    </w:p>
    <w:p w14:paraId="49D50F51">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Tạm dừng / hủy hiển thị</w:t>
      </w:r>
      <w:r>
        <w:rPr>
          <w:rFonts w:hint="default" w:ascii="Times New Roman Regular" w:hAnsi="Times New Roman Regular" w:cs="Times New Roman Regular"/>
          <w:color w:val="auto"/>
        </w:rPr>
        <w:t xml:space="preserve"> mã truy xuất nguồn gốc trên hệ thống khi phát hiện vi phạm.</w:t>
      </w:r>
    </w:p>
    <w:p w14:paraId="6C9104F5">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Phát lệnh thu hồi</w:t>
      </w:r>
      <w:r>
        <w:rPr>
          <w:rFonts w:hint="default" w:ascii="Times New Roman Regular" w:hAnsi="Times New Roman Regular" w:cs="Times New Roman Regular"/>
          <w:color w:val="auto"/>
        </w:rPr>
        <w:t xml:space="preserve"> sản phẩm, gán trạng thái thu hồi theo lô/serial.</w:t>
      </w:r>
    </w:p>
    <w:p w14:paraId="654FD70F">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Cảnh báo sớm</w:t>
      </w:r>
      <w:r>
        <w:rPr>
          <w:rFonts w:hint="default" w:ascii="Times New Roman Regular" w:hAnsi="Times New Roman Regular" w:cs="Times New Roman Regular"/>
          <w:color w:val="auto"/>
        </w:rPr>
        <w:t xml:space="preserve"> khi phát hiện điểm bất thường trong chuỗi cung ứng.</w:t>
      </w:r>
    </w:p>
    <w:p w14:paraId="7330F570">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Phối hợp với Hải quan, Thuế, Sàn TMĐT qua LGSP/NGSP để kiểm tra liên ngành.</w:t>
      </w:r>
    </w:p>
    <w:bookmarkEnd w:id="7"/>
    <w:p w14:paraId="4B8B3422">
      <w:pPr>
        <w:pStyle w:val="5"/>
        <w:jc w:val="both"/>
        <w:rPr>
          <w:rFonts w:hint="default" w:ascii="Times New Roman Regular" w:hAnsi="Times New Roman Regular" w:cs="Times New Roman Regular"/>
          <w:color w:val="auto"/>
        </w:rPr>
      </w:pPr>
      <w:bookmarkStart w:id="8" w:name="vai-trò-hỗ-trợ-và-đào-tạo"/>
      <w:r>
        <w:rPr>
          <w:rFonts w:hint="default" w:ascii="Times New Roman Regular" w:hAnsi="Times New Roman Regular" w:cs="Times New Roman Regular"/>
          <w:color w:val="auto"/>
        </w:rPr>
        <w:t>2.4 Vai trò hỗ trợ và đào tạo</w:t>
      </w:r>
    </w:p>
    <w:p w14:paraId="519C8EEB">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Tổ chức </w:t>
      </w:r>
      <w:r>
        <w:rPr>
          <w:rFonts w:hint="default" w:ascii="Times New Roman Regular" w:hAnsi="Times New Roman Regular" w:cs="Times New Roman Regular"/>
          <w:b/>
          <w:bCs/>
          <w:color w:val="auto"/>
        </w:rPr>
        <w:t>hướng dẫn, hỗ trợ kỹ thuật</w:t>
      </w:r>
      <w:r>
        <w:rPr>
          <w:rFonts w:hint="default" w:ascii="Times New Roman Regular" w:hAnsi="Times New Roman Regular" w:cs="Times New Roman Regular"/>
          <w:color w:val="auto"/>
        </w:rPr>
        <w:t xml:space="preserve"> cho thương nhân và các đơn vị liên quan trong việc sử dụng hệ thống.</w:t>
      </w:r>
    </w:p>
    <w:p w14:paraId="65A8FD3A">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Tổ chức </w:t>
      </w:r>
      <w:r>
        <w:rPr>
          <w:rFonts w:hint="default" w:ascii="Times New Roman Regular" w:hAnsi="Times New Roman Regular" w:cs="Times New Roman Regular"/>
          <w:b/>
          <w:bCs/>
          <w:color w:val="auto"/>
        </w:rPr>
        <w:t>tuyên truyền, phổ biến pháp luật</w:t>
      </w:r>
      <w:r>
        <w:rPr>
          <w:rFonts w:hint="default" w:ascii="Times New Roman Regular" w:hAnsi="Times New Roman Regular" w:cs="Times New Roman Regular"/>
          <w:color w:val="auto"/>
        </w:rPr>
        <w:t>, nâng cao nhận thức về TXNG.</w:t>
      </w:r>
    </w:p>
    <w:p w14:paraId="2EE55577">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Định kỳ </w:t>
      </w:r>
      <w:r>
        <w:rPr>
          <w:rFonts w:hint="default" w:ascii="Times New Roman Regular" w:hAnsi="Times New Roman Regular" w:cs="Times New Roman Regular"/>
          <w:b/>
          <w:bCs/>
          <w:color w:val="auto"/>
        </w:rPr>
        <w:t>tổng hợp, đánh giá</w:t>
      </w:r>
      <w:r>
        <w:rPr>
          <w:rFonts w:hint="default" w:ascii="Times New Roman Regular" w:hAnsi="Times New Roman Regular" w:cs="Times New Roman Regular"/>
          <w:color w:val="auto"/>
        </w:rPr>
        <w:t xml:space="preserve"> tình hình thực hiện và đề xuất cải tiến.</w:t>
      </w:r>
    </w:p>
    <w:p w14:paraId="30CED846">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Xây dựng và triển khai </w:t>
      </w:r>
      <w:r>
        <w:rPr>
          <w:rFonts w:hint="default" w:ascii="Times New Roman Regular" w:hAnsi="Times New Roman Regular" w:cs="Times New Roman Regular"/>
          <w:b/>
          <w:bCs/>
          <w:color w:val="auto"/>
        </w:rPr>
        <w:t>Chương trình hỗ trợ thương nhân</w:t>
      </w:r>
      <w:r>
        <w:rPr>
          <w:rFonts w:hint="default" w:ascii="Times New Roman Regular" w:hAnsi="Times New Roman Regular" w:cs="Times New Roman Regular"/>
          <w:color w:val="auto"/>
        </w:rPr>
        <w:t xml:space="preserve"> thực hiện TXNG.</w:t>
      </w:r>
    </w:p>
    <w:p w14:paraId="7BE8F9F4">
      <w:pPr>
        <w:pStyle w:val="14"/>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Căn cứ pháp lý:</w:t>
      </w:r>
      <w:r>
        <w:rPr>
          <w:rFonts w:hint="default" w:ascii="Times New Roman Regular" w:hAnsi="Times New Roman Regular" w:cs="Times New Roman Regular"/>
          <w:color w:val="auto"/>
        </w:rPr>
        <w:t xml:space="preserve"> Điều 15, Dự thảo Thông tư BCT; Điều 12, Quyển 1 BCNCKT.</w:t>
      </w:r>
    </w:p>
    <w:p w14:paraId="58A3C743">
      <w:p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pict>
          <v:rect id="_x0000_i1027" o:spt="1" style="height:1.5pt;width:0pt;" coordsize="21600,21600" o:hr="t" o:hrstd="t" o:hralign="center">
            <v:path/>
            <v:fill focussize="0,0"/>
            <v:stroke/>
            <v:imagedata o:title=""/>
            <o:lock v:ext="edit"/>
            <w10:wrap type="none"/>
            <w10:anchorlock/>
          </v:rect>
        </w:pict>
      </w:r>
    </w:p>
    <w:bookmarkEnd w:id="4"/>
    <w:bookmarkEnd w:id="8"/>
    <w:p w14:paraId="47A2D021">
      <w:pPr>
        <w:pStyle w:val="4"/>
        <w:jc w:val="both"/>
        <w:rPr>
          <w:rFonts w:hint="default" w:ascii="Times New Roman Regular" w:hAnsi="Times New Roman Regular" w:cs="Times New Roman Regular"/>
          <w:color w:val="auto"/>
        </w:rPr>
      </w:pPr>
      <w:bookmarkStart w:id="9" w:name="vai-trò-đại-lý-dịch-vụ-txng"/>
      <w:r>
        <w:rPr>
          <w:rFonts w:hint="default" w:ascii="Times New Roman Regular" w:hAnsi="Times New Roman Regular" w:cs="Times New Roman Regular"/>
          <w:color w:val="auto"/>
        </w:rPr>
        <w:t>3. VAI TRÒ ĐẠI LÝ DỊCH VỤ TXNG</w:t>
      </w:r>
    </w:p>
    <w:p w14:paraId="404FBBCF">
      <w:pPr>
        <w:pStyle w:val="5"/>
        <w:jc w:val="both"/>
        <w:rPr>
          <w:rFonts w:hint="default" w:ascii="Times New Roman Regular" w:hAnsi="Times New Roman Regular" w:cs="Times New Roman Regular"/>
          <w:color w:val="auto"/>
        </w:rPr>
      </w:pPr>
      <w:bookmarkStart w:id="10" w:name="khái-niệm-và-định-nghĩa"/>
      <w:r>
        <w:rPr>
          <w:rFonts w:hint="default" w:ascii="Times New Roman Regular" w:hAnsi="Times New Roman Regular" w:cs="Times New Roman Regular"/>
          <w:color w:val="auto"/>
        </w:rPr>
        <w:t>3.1 Khái niệm và định nghĩa</w:t>
      </w:r>
    </w:p>
    <w:p w14:paraId="17EF132F">
      <w:pPr>
        <w:pStyle w:val="24"/>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Đại lý Dịch vụ TXNG</w:t>
      </w:r>
      <w:r>
        <w:rPr>
          <w:rFonts w:hint="default" w:ascii="Times New Roman Regular" w:hAnsi="Times New Roman Regular" w:cs="Times New Roman Regular"/>
          <w:color w:val="auto"/>
        </w:rPr>
        <w:t xml:space="preserve"> là mô hình trung gian được nghiên cứu, tương tự mô hình </w:t>
      </w:r>
      <w:r>
        <w:rPr>
          <w:rFonts w:hint="default" w:ascii="Times New Roman Regular" w:hAnsi="Times New Roman Regular" w:cs="Times New Roman Regular"/>
          <w:b/>
          <w:bCs/>
          <w:color w:val="auto"/>
        </w:rPr>
        <w:t>đại lý thuế</w:t>
      </w:r>
      <w:r>
        <w:rPr>
          <w:rFonts w:hint="default" w:ascii="Times New Roman Regular" w:hAnsi="Times New Roman Regular" w:cs="Times New Roman Regular"/>
          <w:color w:val="auto"/>
        </w:rPr>
        <w:t xml:space="preserve"> (thay DN kê khai thuế) hay </w:t>
      </w:r>
      <w:r>
        <w:rPr>
          <w:rFonts w:hint="default" w:ascii="Times New Roman Regular" w:hAnsi="Times New Roman Regular" w:cs="Times New Roman Regular"/>
          <w:b/>
          <w:bCs/>
          <w:color w:val="auto"/>
        </w:rPr>
        <w:t>đại lý hải quan</w:t>
      </w:r>
      <w:r>
        <w:rPr>
          <w:rFonts w:hint="default" w:ascii="Times New Roman Regular" w:hAnsi="Times New Roman Regular" w:cs="Times New Roman Regular"/>
          <w:color w:val="auto"/>
        </w:rPr>
        <w:t xml:space="preserve"> (thay DN làm thủ tục thông quan). Đây là đơn vị được Bộ Công Thương cấp phép, hỗ trợ doanh nghiệp triển khai truy xuất nguồn gốc từ đầu đến cuối.</w:t>
      </w:r>
    </w:p>
    <w:bookmarkEnd w:id="10"/>
    <w:p w14:paraId="6CB678B3">
      <w:pPr>
        <w:pStyle w:val="5"/>
        <w:jc w:val="both"/>
        <w:rPr>
          <w:rFonts w:hint="default" w:ascii="Times New Roman Regular" w:hAnsi="Times New Roman Regular" w:cs="Times New Roman Regular"/>
          <w:color w:val="auto"/>
        </w:rPr>
      </w:pPr>
      <w:bookmarkStart w:id="11" w:name="phạm-vi-dịch-vụ-của-đại-lý"/>
      <w:r>
        <w:rPr>
          <w:rFonts w:hint="default" w:ascii="Times New Roman Regular" w:hAnsi="Times New Roman Regular" w:cs="Times New Roman Regular"/>
          <w:color w:val="auto"/>
        </w:rPr>
        <w:t>3.2 Phạm vi dịch vụ của Đại lý</w:t>
      </w:r>
    </w:p>
    <w:tbl>
      <w:tblPr>
        <w:tblStyle w:val="42"/>
        <w:tblW w:w="5000" w:type="pct"/>
        <w:tblInd w:w="0" w:type="dxa"/>
        <w:tblLayout w:type="fixed"/>
        <w:tblCellMar>
          <w:top w:w="0" w:type="dxa"/>
          <w:left w:w="108" w:type="dxa"/>
          <w:bottom w:w="0" w:type="dxa"/>
          <w:right w:w="108" w:type="dxa"/>
        </w:tblCellMar>
      </w:tblPr>
      <w:tblGrid>
        <w:gridCol w:w="2429"/>
        <w:gridCol w:w="6427"/>
      </w:tblGrid>
      <w:tr w14:paraId="700AC34A">
        <w:trPr>
          <w:tblHeader/>
        </w:trPr>
        <w:tc>
          <w:tcPr>
            <w:tcW w:w="1371" w:type="pct"/>
          </w:tcPr>
          <w:p w14:paraId="2B223463">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Dịch vụ</w:t>
            </w:r>
          </w:p>
        </w:tc>
        <w:tc>
          <w:tcPr>
            <w:tcW w:w="3628" w:type="pct"/>
          </w:tcPr>
          <w:p w14:paraId="69AC706D">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Mô tả</w:t>
            </w:r>
          </w:p>
        </w:tc>
      </w:tr>
      <w:tr w14:paraId="2C844417">
        <w:tc>
          <w:tcPr>
            <w:tcW w:w="1371" w:type="pct"/>
          </w:tcPr>
          <w:p w14:paraId="79D3BF36">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Onboarding</w:t>
            </w:r>
          </w:p>
        </w:tc>
        <w:tc>
          <w:tcPr>
            <w:tcW w:w="3628" w:type="pct"/>
          </w:tcPr>
          <w:p w14:paraId="55D9C843">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Tư vấn, hướng dẫn thiết lập hồ sơ DN, đăng ký sản phẩm trên hệ thống</w:t>
            </w:r>
          </w:p>
        </w:tc>
      </w:tr>
      <w:tr w14:paraId="03CA0B89">
        <w:tc>
          <w:tcPr>
            <w:tcW w:w="1371" w:type="pct"/>
          </w:tcPr>
          <w:p w14:paraId="43BC0DD9">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Nhập liệu</w:t>
            </w:r>
          </w:p>
        </w:tc>
        <w:tc>
          <w:tcPr>
            <w:tcW w:w="3628" w:type="pct"/>
          </w:tcPr>
          <w:p w14:paraId="0789BFD2">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Cập nhật dữ liệu sản phẩm, lô sản xuất, sự kiện EPCIS thay DN</w:t>
            </w:r>
          </w:p>
        </w:tc>
      </w:tr>
      <w:tr w14:paraId="17F7274C">
        <w:tc>
          <w:tcPr>
            <w:tcW w:w="1371" w:type="pct"/>
          </w:tcPr>
          <w:p w14:paraId="7DE6D3BB">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Tích hợp kỹ thuật</w:t>
            </w:r>
          </w:p>
        </w:tc>
        <w:tc>
          <w:tcPr>
            <w:tcW w:w="3628" w:type="pct"/>
          </w:tcPr>
          <w:p w14:paraId="624C2C34">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Kết nối API giữa hệ thống nội bộ của DN với VeriGoods++</w:t>
            </w:r>
          </w:p>
        </w:tc>
      </w:tr>
      <w:tr w14:paraId="4C7B526D">
        <w:tc>
          <w:tcPr>
            <w:tcW w:w="1371" w:type="pct"/>
          </w:tcPr>
          <w:p w14:paraId="033DEC9A">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Thiết bị IoT</w:t>
            </w:r>
          </w:p>
        </w:tc>
        <w:tc>
          <w:tcPr>
            <w:tcW w:w="3628" w:type="pct"/>
          </w:tcPr>
          <w:p w14:paraId="3059576E">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Lắp đặt thiết bị scan mã, IoT tại hiện trường sản xuất</w:t>
            </w:r>
          </w:p>
        </w:tc>
      </w:tr>
      <w:tr w14:paraId="5CEE4A44">
        <w:tc>
          <w:tcPr>
            <w:tcW w:w="1371" w:type="pct"/>
          </w:tcPr>
          <w:p w14:paraId="4B049BF2">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In tem/nhãn</w:t>
            </w:r>
          </w:p>
        </w:tc>
        <w:tc>
          <w:tcPr>
            <w:tcW w:w="3628" w:type="pct"/>
          </w:tcPr>
          <w:p w14:paraId="63195830">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Hỗ trợ in mã QR GS1 Digital Link, tem nhãn đúng chuẩn</w:t>
            </w:r>
          </w:p>
        </w:tc>
      </w:tr>
      <w:tr w14:paraId="38C21F33">
        <w:tc>
          <w:tcPr>
            <w:tcW w:w="1371" w:type="pct"/>
          </w:tcPr>
          <w:p w14:paraId="0AC5CD01">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Giám sát</w:t>
            </w:r>
          </w:p>
        </w:tc>
        <w:tc>
          <w:tcPr>
            <w:tcW w:w="3628" w:type="pct"/>
          </w:tcPr>
          <w:p w14:paraId="1C312844">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Cảnh báo khi có sự cố dữ liệu, lỗi khai báo</w:t>
            </w:r>
          </w:p>
        </w:tc>
      </w:tr>
      <w:tr w14:paraId="26642276">
        <w:tc>
          <w:tcPr>
            <w:tcW w:w="1371" w:type="pct"/>
          </w:tcPr>
          <w:p w14:paraId="4A46509C">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Đại diện pháp lý</w:t>
            </w:r>
          </w:p>
        </w:tc>
        <w:tc>
          <w:tcPr>
            <w:tcW w:w="3628" w:type="pct"/>
          </w:tcPr>
          <w:p w14:paraId="2640BE94">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Làm việc với cơ quan quản lý khi có yêu cầu hậu kiểm</w:t>
            </w:r>
          </w:p>
        </w:tc>
      </w:tr>
      <w:tr w14:paraId="66D5A890">
        <w:tc>
          <w:tcPr>
            <w:tcW w:w="1371" w:type="pct"/>
          </w:tcPr>
          <w:p w14:paraId="245CD032">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Báo cáo tuân thủ</w:t>
            </w:r>
          </w:p>
        </w:tc>
        <w:tc>
          <w:tcPr>
            <w:tcW w:w="3628" w:type="pct"/>
          </w:tcPr>
          <w:p w14:paraId="319AB96B">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Báo cáo định kỳ tình trạng tuân thủ TXNG cho lãnh đạo DN</w:t>
            </w:r>
          </w:p>
        </w:tc>
      </w:tr>
      <w:bookmarkEnd w:id="11"/>
    </w:tbl>
    <w:p w14:paraId="476BD814">
      <w:pPr>
        <w:pStyle w:val="5"/>
        <w:jc w:val="both"/>
        <w:rPr>
          <w:rFonts w:hint="default" w:ascii="Times New Roman Regular" w:hAnsi="Times New Roman Regular" w:cs="Times New Roman Regular"/>
          <w:color w:val="auto"/>
        </w:rPr>
      </w:pPr>
      <w:bookmarkStart w:id="12" w:name="mô-hình-tham-gia-vào-hệ-thống"/>
      <w:r>
        <w:rPr>
          <w:rFonts w:hint="default" w:ascii="Times New Roman Regular" w:hAnsi="Times New Roman Regular" w:cs="Times New Roman Regular"/>
          <w:color w:val="auto"/>
        </w:rPr>
        <w:t>3.3 Mô hình tham gia vào hệ thống</w:t>
      </w:r>
    </w:p>
    <w:p w14:paraId="67B375C1">
      <w:pPr>
        <w:pStyle w:val="24"/>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Thương nhân có </w:t>
      </w:r>
      <w:r>
        <w:rPr>
          <w:rFonts w:hint="default" w:ascii="Times New Roman Regular" w:hAnsi="Times New Roman Regular" w:cs="Times New Roman Regular"/>
          <w:b/>
          <w:bCs/>
          <w:color w:val="auto"/>
        </w:rPr>
        <w:t>3 phương thức</w:t>
      </w:r>
      <w:r>
        <w:rPr>
          <w:rFonts w:hint="default" w:ascii="Times New Roman Regular" w:hAnsi="Times New Roman Regular" w:cs="Times New Roman Regular"/>
          <w:color w:val="auto"/>
        </w:rPr>
        <w:t xml:space="preserve"> để tham gia hệ thống: </w:t>
      </w:r>
    </w:p>
    <w:p w14:paraId="381987E8">
      <w:pPr>
        <w:pStyle w:val="24"/>
        <w:numPr>
          <w:ilvl w:val="0"/>
          <w:numId w:val="2"/>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Tự kết nối trực tiếp</w:t>
      </w:r>
      <w:r>
        <w:rPr>
          <w:rFonts w:hint="default" w:ascii="Times New Roman Regular" w:hAnsi="Times New Roman Regular" w:cs="Times New Roman Regular"/>
          <w:color w:val="auto"/>
        </w:rPr>
        <w:t xml:space="preserve"> – Dùng portal VeriGoods++, tự thao tác (nhập liệu trực tiếp hoặc upload file). </w:t>
      </w:r>
    </w:p>
    <w:p w14:paraId="75B82FD4">
      <w:pPr>
        <w:pStyle w:val="24"/>
        <w:numPr>
          <w:ilvl w:val="0"/>
          <w:numId w:val="2"/>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Tích hợp kỹ thuật</w:t>
      </w:r>
      <w:r>
        <w:rPr>
          <w:rFonts w:hint="default" w:ascii="Times New Roman Regular" w:hAnsi="Times New Roman Regular" w:cs="Times New Roman Regular"/>
          <w:color w:val="auto"/>
        </w:rPr>
        <w:t xml:space="preserve"> – Xây dựng / mua hệ thống nội bộ riêng, kết nối API vào VeriGoods++. </w:t>
      </w:r>
    </w:p>
    <w:p w14:paraId="3C7FD2BB">
      <w:pPr>
        <w:pStyle w:val="24"/>
        <w:numPr>
          <w:ilvl w:val="0"/>
          <w:numId w:val="2"/>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Qua Đại lý Dịch vụ TXNG</w:t>
      </w:r>
      <w:r>
        <w:rPr>
          <w:rFonts w:hint="default" w:ascii="Times New Roman Regular" w:hAnsi="Times New Roman Regular" w:cs="Times New Roman Regular"/>
          <w:color w:val="auto"/>
        </w:rPr>
        <w:t xml:space="preserve"> – </w:t>
      </w:r>
      <w:r>
        <w:rPr>
          <w:rFonts w:hint="default" w:ascii="Times New Roman" w:hAnsi="Times New Roman Regular" w:cs="Times New Roman Regular"/>
          <w:color w:val="auto"/>
          <w:lang w:val="vi-VN"/>
        </w:rPr>
        <w:t>Doanh nghiệp t</w:t>
      </w:r>
      <w:r>
        <w:rPr>
          <w:rFonts w:hint="default" w:ascii="Times New Roman Regular" w:hAnsi="Times New Roman Regular" w:cs="Times New Roman Regular"/>
          <w:color w:val="auto"/>
        </w:rPr>
        <w:t>huê đơn vị trung gian</w:t>
      </w:r>
      <w:r>
        <w:rPr>
          <w:rFonts w:hint="default" w:ascii="Times New Roman" w:hAnsi="Times New Roman Regular" w:cs="Times New Roman Regular"/>
          <w:color w:val="auto"/>
          <w:lang w:val="vi-VN"/>
        </w:rPr>
        <w:t xml:space="preserve"> (đại lý)</w:t>
      </w:r>
      <w:r>
        <w:rPr>
          <w:rFonts w:hint="default" w:ascii="Times New Roman Regular" w:hAnsi="Times New Roman Regular" w:cs="Times New Roman Regular"/>
          <w:color w:val="auto"/>
        </w:rPr>
        <w:t xml:space="preserve"> được cấp phép thực hiện toàn bộ.</w:t>
      </w:r>
    </w:p>
    <w:p w14:paraId="10012076">
      <w:pPr>
        <w:pStyle w:val="14"/>
        <w:ind w:left="0" w:leftChars="0" w:firstLine="0" w:firstLineChars="0"/>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Lưu ý:</w:t>
      </w:r>
      <w:r>
        <w:rPr>
          <w:rFonts w:hint="default" w:ascii="Times New Roman Regular" w:hAnsi="Times New Roman Regular" w:cs="Times New Roman Regular"/>
          <w:color w:val="auto"/>
        </w:rPr>
        <w:t xml:space="preserve"> Mô hình Đại lý đang được nghiên cứu hoàn thiện. Cần ban hành quy định cấp phép và quản lý Đại lý TXNG tương tự cơ chế đại lý thuế điện tử.</w:t>
      </w:r>
    </w:p>
    <w:p w14:paraId="05FB128C">
      <w:p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pict>
          <v:rect id="_x0000_i1028" o:spt="1" style="height:1.5pt;width:0pt;" coordsize="21600,21600" o:hr="t" o:hrstd="t" o:hralign="center">
            <v:path/>
            <v:fill focussize="0,0"/>
            <v:stroke/>
            <v:imagedata o:title=""/>
            <o:lock v:ext="edit"/>
            <w10:wrap type="none"/>
            <w10:anchorlock/>
          </v:rect>
        </w:pict>
      </w:r>
    </w:p>
    <w:bookmarkEnd w:id="9"/>
    <w:bookmarkEnd w:id="12"/>
    <w:p w14:paraId="4EF0BD17">
      <w:pPr>
        <w:pStyle w:val="4"/>
        <w:jc w:val="both"/>
        <w:rPr>
          <w:rFonts w:hint="default" w:ascii="Times New Roman Regular" w:hAnsi="Times New Roman Regular" w:cs="Times New Roman Regular"/>
          <w:color w:val="auto"/>
        </w:rPr>
      </w:pPr>
      <w:bookmarkStart w:id="13" w:name="Xba523009b68d4e2f870fd83dcea4753371498ed"/>
      <w:r>
        <w:rPr>
          <w:rFonts w:hint="default" w:ascii="Times New Roman Regular" w:hAnsi="Times New Roman Regular" w:cs="Times New Roman Regular"/>
          <w:color w:val="auto"/>
        </w:rPr>
        <w:t>4. VAI TRÒ CỦA CÁC DOANH NGHIỆP TRONG HỆ THỐNG</w:t>
      </w:r>
    </w:p>
    <w:p w14:paraId="54ABBB4C">
      <w:pPr>
        <w:pStyle w:val="5"/>
        <w:jc w:val="both"/>
        <w:rPr>
          <w:rFonts w:hint="default" w:ascii="Times New Roman Regular" w:hAnsi="Times New Roman Regular" w:cs="Times New Roman Regular"/>
          <w:color w:val="auto"/>
        </w:rPr>
      </w:pPr>
      <w:bookmarkStart w:id="14" w:name="phân-loại-đối-tượng-doanh-nghiệp"/>
      <w:r>
        <w:rPr>
          <w:rFonts w:hint="default" w:ascii="Times New Roman Regular" w:hAnsi="Times New Roman Regular" w:cs="Times New Roman Regular"/>
          <w:color w:val="auto"/>
        </w:rPr>
        <w:t>4.1 Phân loại đối tượng doanh nghiệp</w:t>
      </w:r>
    </w:p>
    <w:tbl>
      <w:tblPr>
        <w:tblStyle w:val="4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8"/>
        <w:gridCol w:w="5127"/>
        <w:gridCol w:w="2331"/>
      </w:tblGrid>
      <w:tr w14:paraId="0DF11757">
        <w:trPr>
          <w:tblHeader/>
        </w:trPr>
        <w:tc>
          <w:p w14:paraId="7FA9018E">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Nhóm</w:t>
            </w:r>
          </w:p>
        </w:tc>
        <w:tc>
          <w:p w14:paraId="02ED70B4">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Vai trò trong hệ thống</w:t>
            </w:r>
          </w:p>
        </w:tc>
        <w:tc>
          <w:p w14:paraId="3F8E4158">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Nghĩa vụ</w:t>
            </w:r>
          </w:p>
        </w:tc>
      </w:tr>
      <w:tr w14:paraId="5BA20E34">
        <w:tc>
          <w:p w14:paraId="541DC688">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Sản xuất</w:t>
            </w:r>
          </w:p>
        </w:tc>
        <w:tc>
          <w:p w14:paraId="6BB24961">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Ghi nhận sự kiện SX, đóng gói, xuất kho; đăng ký sản phẩm và cấp UID</w:t>
            </w:r>
          </w:p>
        </w:tc>
        <w:tc>
          <w:p w14:paraId="6F3CFF17">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Bắt buộc (nhóm rủi ro cao)</w:t>
            </w:r>
          </w:p>
        </w:tc>
      </w:tr>
      <w:tr w14:paraId="712D3354">
        <w:tc>
          <w:p w14:paraId="30C1CBAE">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Nhập khẩu</w:t>
            </w:r>
          </w:p>
        </w:tc>
        <w:tc>
          <w:p w14:paraId="397766E4">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Khai báo thêm: tên/địa chỉ đơn vị nhập khẩu, nhà phân phối chính thức</w:t>
            </w:r>
          </w:p>
        </w:tc>
        <w:tc>
          <w:p w14:paraId="3B37C05A">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Bắt buộc (nhóm rủi ro cao)</w:t>
            </w:r>
          </w:p>
        </w:tc>
      </w:tr>
      <w:tr w14:paraId="447DD005">
        <w:tc>
          <w:p w14:paraId="000094AA">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Logistics / Vận chuyển</w:t>
            </w:r>
          </w:p>
        </w:tc>
        <w:tc>
          <w:p w14:paraId="39715380">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Ghi nhận sự kiện xuất kho, vận chuyển, điểm trung chuyển</w:t>
            </w:r>
          </w:p>
        </w:tc>
        <w:tc>
          <w:p w14:paraId="0B56E5A0">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Theo yêu cầu chuỗi</w:t>
            </w:r>
          </w:p>
        </w:tc>
      </w:tr>
      <w:tr w14:paraId="1A2D221F">
        <w:tc>
          <w:p w14:paraId="62379EA4">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Phân phối / Đại lý</w:t>
            </w:r>
          </w:p>
        </w:tc>
        <w:tc>
          <w:p w14:paraId="30E687EC">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Ghi nhận sự kiện nhập kho phân phối, bán lẻ</w:t>
            </w:r>
          </w:p>
        </w:tc>
        <w:tc>
          <w:p w14:paraId="5A2DD155">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Theo yêu cầu chuỗi</w:t>
            </w:r>
          </w:p>
        </w:tc>
      </w:tr>
      <w:tr w14:paraId="30527B4F">
        <w:tc>
          <w:p w14:paraId="676CF207">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Bán lẻ / Cửa hàng</w:t>
            </w:r>
          </w:p>
        </w:tc>
        <w:tc>
          <w:p w14:paraId="720492DD">
            <w:pPr>
              <w:pStyle w:val="25"/>
              <w:jc w:val="both"/>
              <w:rPr>
                <w:rFonts w:hint="default" w:ascii="Times New Roman Regular" w:hAnsi="Times New Roman Regular" w:cs="Times New Roman Regular"/>
                <w:color w:val="auto"/>
                <w:lang w:val="vi-VN"/>
              </w:rPr>
            </w:pPr>
            <w:r>
              <w:rPr>
                <w:rFonts w:hint="default" w:ascii="Times New Roman Regular" w:hAnsi="Times New Roman Regular" w:cs="Times New Roman Regular"/>
                <w:color w:val="auto"/>
              </w:rPr>
              <w:t>Nhập điểm bán, xác nhận bán hàng cuối chuỗi</w:t>
            </w:r>
            <w:r>
              <w:rPr>
                <w:rFonts w:hint="default" w:ascii="Times New Roman" w:hAnsi="Times New Roman Regular" w:cs="Times New Roman Regular"/>
                <w:color w:val="auto"/>
                <w:lang w:val="vi-VN"/>
              </w:rPr>
              <w:t xml:space="preserve"> cung ứng</w:t>
            </w:r>
          </w:p>
        </w:tc>
        <w:tc>
          <w:p w14:paraId="2DE9B748">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Khuyến khích</w:t>
            </w:r>
          </w:p>
        </w:tc>
      </w:tr>
      <w:bookmarkEnd w:id="14"/>
    </w:tbl>
    <w:p w14:paraId="7B8B759D">
      <w:pPr>
        <w:pStyle w:val="5"/>
        <w:jc w:val="both"/>
        <w:rPr>
          <w:rFonts w:hint="default" w:ascii="Times New Roman Regular" w:hAnsi="Times New Roman Regular" w:cs="Times New Roman Regular"/>
          <w:color w:val="auto"/>
        </w:rPr>
      </w:pPr>
      <w:bookmarkStart w:id="15" w:name="trách-nhiệm-pháp-lý-của-doanh-nghiệp"/>
      <w:r>
        <w:rPr>
          <w:rFonts w:hint="default" w:ascii="Times New Roman Regular" w:hAnsi="Times New Roman Regular" w:cs="Times New Roman Regular"/>
          <w:color w:val="auto"/>
        </w:rPr>
        <w:t>4.2 Trách nhiệm pháp lý của doanh nghiệp</w:t>
      </w:r>
    </w:p>
    <w:p w14:paraId="63B3FB4E">
      <w:pPr>
        <w:pStyle w:val="24"/>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Theo </w:t>
      </w:r>
      <w:r>
        <w:rPr>
          <w:rFonts w:hint="default" w:ascii="Times New Roman Regular" w:hAnsi="Times New Roman Regular" w:cs="Times New Roman Regular"/>
          <w:b/>
          <w:bCs/>
          <w:color w:val="auto"/>
        </w:rPr>
        <w:t>Điều 13, Dự thảo Thông tư BCT</w:t>
      </w:r>
      <w:r>
        <w:rPr>
          <w:rFonts w:hint="default" w:ascii="Times New Roman Regular" w:hAnsi="Times New Roman Regular" w:cs="Times New Roman Regular"/>
          <w:color w:val="auto"/>
        </w:rPr>
        <w:t>, doanh nghiệp có các trách nhiệm:</w:t>
      </w:r>
    </w:p>
    <w:p w14:paraId="485C5F9B">
      <w:pPr>
        <w:pStyle w:val="25"/>
        <w:numPr>
          <w:ilvl w:val="0"/>
          <w:numId w:val="3"/>
        </w:num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Lựa chọn phương thức tham gia (trực tiếp / tích hợp API / qua đại lý).</w:t>
      </w:r>
    </w:p>
    <w:p w14:paraId="0CF0A846">
      <w:pPr>
        <w:pStyle w:val="25"/>
        <w:numPr>
          <w:ilvl w:val="0"/>
          <w:numId w:val="3"/>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Thiết lập và vận hành</w:t>
      </w:r>
      <w:r>
        <w:rPr>
          <w:rFonts w:hint="default" w:ascii="Times New Roman Regular" w:hAnsi="Times New Roman Regular" w:cs="Times New Roman Regular"/>
          <w:color w:val="auto"/>
        </w:rPr>
        <w:t xml:space="preserve"> hệ thống TXNG nội bộ đáp ứng yêu cầu.</w:t>
      </w:r>
    </w:p>
    <w:p w14:paraId="5514CB3B">
      <w:pPr>
        <w:pStyle w:val="25"/>
        <w:numPr>
          <w:ilvl w:val="0"/>
          <w:numId w:val="3"/>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Khai báo và cập nhật</w:t>
      </w:r>
      <w:r>
        <w:rPr>
          <w:rFonts w:hint="default" w:ascii="Times New Roman Regular" w:hAnsi="Times New Roman Regular" w:cs="Times New Roman Regular"/>
          <w:color w:val="auto"/>
        </w:rPr>
        <w:t xml:space="preserve"> thông tin lên VeriGoods++ trước khi đưa sản phẩm vào lưu thông.</w:t>
      </w:r>
    </w:p>
    <w:p w14:paraId="053BEFDA">
      <w:pPr>
        <w:pStyle w:val="25"/>
        <w:numPr>
          <w:ilvl w:val="0"/>
          <w:numId w:val="3"/>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Chịu trách nhiệm trước pháp luật</w:t>
      </w:r>
      <w:r>
        <w:rPr>
          <w:rFonts w:hint="default" w:ascii="Times New Roman Regular" w:hAnsi="Times New Roman Regular" w:cs="Times New Roman Regular"/>
          <w:color w:val="auto"/>
        </w:rPr>
        <w:t xml:space="preserve"> về tính chính xác, đầy đủ, toàn vẹn của dữ liệu.</w:t>
      </w:r>
    </w:p>
    <w:p w14:paraId="11AECAE6">
      <w:pPr>
        <w:pStyle w:val="25"/>
        <w:numPr>
          <w:ilvl w:val="0"/>
          <w:numId w:val="3"/>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Lưu trữ dữ liệu</w:t>
      </w:r>
      <w:r>
        <w:rPr>
          <w:rFonts w:hint="default" w:ascii="Times New Roman Regular" w:hAnsi="Times New Roman Regular" w:cs="Times New Roman Regular"/>
          <w:color w:val="auto"/>
        </w:rPr>
        <w:t xml:space="preserve"> đủ thời gian: ≥12 tháng (hàng có hạn sử dụng) hoặc 60 tháng (hàng không có HSD).</w:t>
      </w:r>
    </w:p>
    <w:p w14:paraId="0F1B6D5E">
      <w:pPr>
        <w:pStyle w:val="25"/>
        <w:numPr>
          <w:ilvl w:val="0"/>
          <w:numId w:val="3"/>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Cung cấp dữ liệu trong 24 tiếng</w:t>
      </w:r>
      <w:r>
        <w:rPr>
          <w:rFonts w:hint="default" w:ascii="Times New Roman Regular" w:hAnsi="Times New Roman Regular" w:cs="Times New Roman Regular"/>
          <w:color w:val="auto"/>
        </w:rPr>
        <w:t xml:space="preserve"> kể từ khi có yêu cầu của cơ quan có thẩm quyền.</w:t>
      </w:r>
    </w:p>
    <w:p w14:paraId="48E1EDDE">
      <w:pPr>
        <w:pStyle w:val="25"/>
        <w:numPr>
          <w:ilvl w:val="0"/>
          <w:numId w:val="3"/>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Chịu sự kiểm tra, giám sát</w:t>
      </w:r>
      <w:r>
        <w:rPr>
          <w:rFonts w:hint="default" w:ascii="Times New Roman Regular" w:hAnsi="Times New Roman Regular" w:cs="Times New Roman Regular"/>
          <w:color w:val="auto"/>
        </w:rPr>
        <w:t xml:space="preserve"> của cơ quan QLNN về TXNG.</w:t>
      </w:r>
    </w:p>
    <w:p w14:paraId="651482F8">
      <w:pPr>
        <w:pStyle w:val="25"/>
        <w:numPr>
          <w:ilvl w:val="0"/>
          <w:numId w:val="3"/>
        </w:num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Gắn mã QR/barcode TXNG </w:t>
      </w:r>
      <w:r>
        <w:rPr>
          <w:rFonts w:hint="default" w:ascii="Times New Roman Regular" w:hAnsi="Times New Roman Regular" w:cs="Times New Roman Regular"/>
          <w:b/>
          <w:bCs/>
          <w:color w:val="auto"/>
        </w:rPr>
        <w:t>lên sản phẩm hoặc bao bì</w:t>
      </w:r>
      <w:r>
        <w:rPr>
          <w:rFonts w:hint="default" w:ascii="Times New Roman Regular" w:hAnsi="Times New Roman Regular" w:cs="Times New Roman Regular"/>
          <w:color w:val="auto"/>
        </w:rPr>
        <w:t xml:space="preserve"> theo chuẩn TCVN 13275.</w:t>
      </w:r>
    </w:p>
    <w:p w14:paraId="1AEF5B66">
      <w:p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pict>
          <v:rect id="_x0000_i1029" o:spt="1" style="height:1.5pt;width:0pt;" coordsize="21600,21600" o:hr="t" o:hrstd="t" o:hralign="center">
            <v:path/>
            <v:fill focussize="0,0"/>
            <v:stroke/>
            <v:imagedata o:title=""/>
            <o:lock v:ext="edit"/>
            <w10:wrap type="none"/>
            <w10:anchorlock/>
          </v:rect>
        </w:pict>
      </w:r>
    </w:p>
    <w:bookmarkEnd w:id="13"/>
    <w:bookmarkEnd w:id="15"/>
    <w:p w14:paraId="5414901C">
      <w:pPr>
        <w:pStyle w:val="4"/>
        <w:jc w:val="both"/>
        <w:rPr>
          <w:rFonts w:hint="default" w:ascii="Times New Roman Regular" w:hAnsi="Times New Roman Regular" w:cs="Times New Roman Regular"/>
          <w:color w:val="auto"/>
        </w:rPr>
      </w:pPr>
      <w:bookmarkStart w:id="16" w:name="X56533ca04e7112f0bd4f9d77116c78af77247c2"/>
      <w:r>
        <w:rPr>
          <w:rFonts w:hint="default" w:ascii="Times New Roman Regular" w:hAnsi="Times New Roman Regular" w:cs="Times New Roman Regular"/>
          <w:color w:val="auto"/>
        </w:rPr>
        <w:t>5. DOANH NGHIỆP CẦN CHUẨN BỊ GÌ KHI THAM GIA HỆ THỐNG?</w:t>
      </w:r>
    </w:p>
    <w:p w14:paraId="1965B0FF">
      <w:pPr>
        <w:pStyle w:val="5"/>
        <w:jc w:val="both"/>
        <w:rPr>
          <w:rFonts w:hint="default" w:ascii="Times New Roman Regular" w:hAnsi="Times New Roman Regular" w:cs="Times New Roman Regular"/>
          <w:color w:val="auto"/>
        </w:rPr>
      </w:pPr>
      <w:bookmarkStart w:id="17" w:name="chuẩn-bị-hạ-tầng-kỹ-thuật"/>
      <w:r>
        <w:rPr>
          <w:rFonts w:hint="default" w:ascii="Times New Roman Regular" w:hAnsi="Times New Roman Regular" w:cs="Times New Roman Regular"/>
          <w:color w:val="auto"/>
        </w:rPr>
        <w:t>5.1 Chuẩn bị hạ tầng kỹ thuật</w:t>
      </w:r>
    </w:p>
    <w:tbl>
      <w:tblPr>
        <w:tblStyle w:val="42"/>
        <w:tblW w:w="5000" w:type="pct"/>
        <w:tblInd w:w="0" w:type="dxa"/>
        <w:tblLayout w:type="fixed"/>
        <w:tblCellMar>
          <w:top w:w="0" w:type="dxa"/>
          <w:left w:w="108" w:type="dxa"/>
          <w:bottom w:w="0" w:type="dxa"/>
          <w:right w:w="108" w:type="dxa"/>
        </w:tblCellMar>
      </w:tblPr>
      <w:tblGrid>
        <w:gridCol w:w="2600"/>
        <w:gridCol w:w="3198"/>
        <w:gridCol w:w="3058"/>
      </w:tblGrid>
      <w:tr w14:paraId="17009679">
        <w:trPr>
          <w:tblHeader/>
        </w:trPr>
        <w:tc>
          <w:tcPr>
            <w:tcW w:w="1467" w:type="pct"/>
          </w:tcPr>
          <w:p w14:paraId="7D94B262">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Hạng mục</w:t>
            </w:r>
          </w:p>
        </w:tc>
        <w:tc>
          <w:tcPr>
            <w:tcW w:w="1805" w:type="pct"/>
          </w:tcPr>
          <w:p w14:paraId="555D02C3">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Mô tả</w:t>
            </w:r>
          </w:p>
        </w:tc>
        <w:tc>
          <w:tcPr>
            <w:tcW w:w="1726" w:type="pct"/>
          </w:tcPr>
          <w:p w14:paraId="3708ACD6">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Phương án</w:t>
            </w:r>
          </w:p>
        </w:tc>
      </w:tr>
      <w:tr w14:paraId="7986AFD5">
        <w:tc>
          <w:tcPr>
            <w:tcW w:w="1467" w:type="pct"/>
          </w:tcPr>
          <w:p w14:paraId="65239DE0">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Chữ ký số</w:t>
            </w:r>
          </w:p>
        </w:tc>
        <w:tc>
          <w:tcPr>
            <w:tcW w:w="1805" w:type="pct"/>
          </w:tcPr>
          <w:p w14:paraId="41084124">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DN phải có chữ ký số để xác thực khai báo</w:t>
            </w:r>
          </w:p>
        </w:tc>
        <w:tc>
          <w:tcPr>
            <w:tcW w:w="1726" w:type="pct"/>
          </w:tcPr>
          <w:p w14:paraId="7B6E7E23">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Mua từ </w:t>
            </w:r>
            <w:r>
              <w:rPr>
                <w:rFonts w:hint="default" w:ascii="Times New Roman" w:hAnsi="Times New Roman Regular" w:cs="Times New Roman Regular"/>
                <w:color w:val="auto"/>
                <w:lang w:val="vi-VN"/>
              </w:rPr>
              <w:t xml:space="preserve">nhà cung cấp chữ ký số </w:t>
            </w:r>
            <w:r>
              <w:rPr>
                <w:rFonts w:hint="default" w:ascii="Times New Roman Regular" w:hAnsi="Times New Roman Regular" w:cs="Times New Roman Regular"/>
                <w:color w:val="auto"/>
              </w:rPr>
              <w:t>được cấp phép</w:t>
            </w:r>
          </w:p>
        </w:tc>
      </w:tr>
      <w:tr w14:paraId="160E821F">
        <w:tc>
          <w:tcPr>
            <w:tcW w:w="1467" w:type="pct"/>
          </w:tcPr>
          <w:p w14:paraId="4BFD32FA">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Kết nối Internet</w:t>
            </w:r>
          </w:p>
        </w:tc>
        <w:tc>
          <w:tcPr>
            <w:tcW w:w="1805" w:type="pct"/>
          </w:tcPr>
          <w:p w14:paraId="2A048583">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Đường truyền ổn định để truy cập portal hoặc call API</w:t>
            </w:r>
          </w:p>
        </w:tc>
        <w:tc>
          <w:tcPr>
            <w:tcW w:w="1726" w:type="pct"/>
          </w:tcPr>
          <w:p w14:paraId="72B3F5A2">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Sẵn có</w:t>
            </w:r>
          </w:p>
        </w:tc>
      </w:tr>
      <w:tr w14:paraId="4B66DD7E">
        <w:tc>
          <w:tcPr>
            <w:tcW w:w="1467" w:type="pct"/>
          </w:tcPr>
          <w:p w14:paraId="1F64C7AE">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Hệ thống ERP/Phần mềm quản lý</w:t>
            </w:r>
          </w:p>
        </w:tc>
        <w:tc>
          <w:tcPr>
            <w:tcW w:w="1805" w:type="pct"/>
          </w:tcPr>
          <w:p w14:paraId="6CE40811">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Nếu có tích hợp API: cần module TXNG hoặc middleware</w:t>
            </w:r>
          </w:p>
        </w:tc>
        <w:tc>
          <w:tcPr>
            <w:tcW w:w="1726" w:type="pct"/>
          </w:tcPr>
          <w:p w14:paraId="076C650E">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Mua/xây dựng thêm</w:t>
            </w:r>
          </w:p>
        </w:tc>
      </w:tr>
      <w:tr w14:paraId="7C5AE33B">
        <w:tc>
          <w:tcPr>
            <w:tcW w:w="1467" w:type="pct"/>
          </w:tcPr>
          <w:p w14:paraId="5E6BEC4D">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Thiết bị in mã QR</w:t>
            </w:r>
          </w:p>
        </w:tc>
        <w:tc>
          <w:tcPr>
            <w:tcW w:w="1805" w:type="pct"/>
          </w:tcPr>
          <w:p w14:paraId="1027926B">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Máy in tem nhãn đạt chuẩn GS1 Digital Link</w:t>
            </w:r>
          </w:p>
        </w:tc>
        <w:tc>
          <w:tcPr>
            <w:tcW w:w="1726" w:type="pct"/>
          </w:tcPr>
          <w:p w14:paraId="662CC8B5">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Mua mới hoặc thuê</w:t>
            </w:r>
          </w:p>
        </w:tc>
      </w:tr>
      <w:tr w14:paraId="6AAE2B49">
        <w:tc>
          <w:tcPr>
            <w:tcW w:w="1467" w:type="pct"/>
          </w:tcPr>
          <w:p w14:paraId="612B08C6">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Thiết bị scan</w:t>
            </w:r>
          </w:p>
        </w:tc>
        <w:tc>
          <w:tcPr>
            <w:tcW w:w="1805" w:type="pct"/>
          </w:tcPr>
          <w:p w14:paraId="17CA2092">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Máy đọc mã tại nhà xưởng (nếu cần tự động hóa)</w:t>
            </w:r>
          </w:p>
        </w:tc>
        <w:tc>
          <w:tcPr>
            <w:tcW w:w="1726" w:type="pct"/>
          </w:tcPr>
          <w:p w14:paraId="680E9E9E">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Tùy quy mô SX</w:t>
            </w:r>
          </w:p>
        </w:tc>
      </w:tr>
      <w:tr w14:paraId="075BD27C">
        <w:tc>
          <w:tcPr>
            <w:tcW w:w="1467" w:type="pct"/>
          </w:tcPr>
          <w:p w14:paraId="4B07E132">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IoT/Cảm biến</w:t>
            </w:r>
          </w:p>
        </w:tc>
        <w:tc>
          <w:tcPr>
            <w:tcW w:w="1805" w:type="pct"/>
          </w:tcPr>
          <w:p w14:paraId="0ACD8CC9">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Cho dây chuyền SX có tốc độ cao (bia, sữa…)</w:t>
            </w:r>
          </w:p>
        </w:tc>
        <w:tc>
          <w:tcPr>
            <w:tcW w:w="1726" w:type="pct"/>
          </w:tcPr>
          <w:p w14:paraId="30B7711F">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Tùy nhu cầu</w:t>
            </w:r>
          </w:p>
        </w:tc>
      </w:tr>
      <w:bookmarkEnd w:id="17"/>
    </w:tbl>
    <w:p w14:paraId="31F1F29E">
      <w:pPr>
        <w:pStyle w:val="5"/>
        <w:jc w:val="both"/>
        <w:rPr>
          <w:rFonts w:hint="default" w:ascii="Times New Roman Regular" w:hAnsi="Times New Roman Regular" w:cs="Times New Roman Regular"/>
          <w:color w:val="auto"/>
        </w:rPr>
      </w:pPr>
      <w:bookmarkStart w:id="18" w:name="thay-đổi-quy-trình-vận-hành"/>
      <w:r>
        <w:rPr>
          <w:rFonts w:hint="default" w:ascii="Times New Roman Regular" w:hAnsi="Times New Roman Regular" w:cs="Times New Roman Regular"/>
          <w:color w:val="auto"/>
        </w:rPr>
        <w:t>5.2 Thay đổi quy trình vận hành</w:t>
      </w:r>
    </w:p>
    <w:tbl>
      <w:tblPr>
        <w:tblStyle w:val="42"/>
        <w:tblW w:w="5000" w:type="pct"/>
        <w:tblInd w:w="0" w:type="dxa"/>
        <w:tblLayout w:type="fixed"/>
        <w:tblCellMar>
          <w:top w:w="0" w:type="dxa"/>
          <w:left w:w="108" w:type="dxa"/>
          <w:bottom w:w="0" w:type="dxa"/>
          <w:right w:w="108" w:type="dxa"/>
        </w:tblCellMar>
      </w:tblPr>
      <w:tblGrid>
        <w:gridCol w:w="3247"/>
        <w:gridCol w:w="5609"/>
      </w:tblGrid>
      <w:tr w14:paraId="73561D31">
        <w:trPr>
          <w:tblHeader/>
        </w:trPr>
        <w:tc>
          <w:p w14:paraId="22AF6D59">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Quy trình</w:t>
            </w:r>
          </w:p>
        </w:tc>
        <w:tc>
          <w:p w14:paraId="31074B0B">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Thay đổi cần thiết</w:t>
            </w:r>
          </w:p>
        </w:tc>
      </w:tr>
      <w:tr w14:paraId="404DC41F">
        <w:tc>
          <w:p w14:paraId="661C595D">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Quy trình sản xuất</w:t>
            </w:r>
          </w:p>
        </w:tc>
        <w:tc>
          <w:p w14:paraId="4711FC4E">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Bổ sung bước: tạo lô SX, gán serial/UID, ghi nhận sự kiện sản xuất (CTE) trên hệ thống</w:t>
            </w:r>
          </w:p>
        </w:tc>
      </w:tr>
      <w:tr w14:paraId="3607622C">
        <w:tc>
          <w:p w14:paraId="05B22AC3">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Quy trình đóng gói</w:t>
            </w:r>
          </w:p>
        </w:tc>
        <w:tc>
          <w:p w14:paraId="73B77C36">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Gắn mã QR GS1 lên bao bì; liên kết mã với lô/serial tương ứng</w:t>
            </w:r>
          </w:p>
        </w:tc>
      </w:tr>
      <w:tr w14:paraId="524F53C3">
        <w:tc>
          <w:p w14:paraId="7AC0B40B">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Quy trình xuất kho</w:t>
            </w:r>
          </w:p>
        </w:tc>
        <w:tc>
          <w:p w14:paraId="4C5DB1F7">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Ghi nhận sự kiện xuất kho, vận chuyển lên hệ thống trước khi hàng rời kho</w:t>
            </w:r>
          </w:p>
        </w:tc>
      </w:tr>
      <w:tr w14:paraId="34FBBC3B">
        <w:tc>
          <w:p w14:paraId="7CA9AAEE">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Quy trình nhập khẩu</w:t>
            </w:r>
          </w:p>
        </w:tc>
        <w:tc>
          <w:p w14:paraId="10E365A9">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Khai báo tại cửa khẩu nhập → cập nhật </w:t>
            </w:r>
            <w:r>
              <w:rPr>
                <w:rFonts w:hint="default" w:ascii="Times New Roman" w:hAnsi="Times New Roman Regular" w:cs="Times New Roman Regular"/>
                <w:color w:val="auto"/>
                <w:lang w:val="vi-VN"/>
              </w:rPr>
              <w:t xml:space="preserve">chứng từ </w:t>
            </w:r>
            <w:r>
              <w:rPr>
                <w:rFonts w:hint="default" w:ascii="Times New Roman Regular" w:hAnsi="Times New Roman Regular" w:cs="Times New Roman Regular"/>
                <w:color w:val="auto"/>
              </w:rPr>
              <w:t>nhập khẩu vào hệ thống</w:t>
            </w:r>
          </w:p>
        </w:tc>
      </w:tr>
      <w:tr w14:paraId="0012858C">
        <w:tc>
          <w:p w14:paraId="2AA4059E">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Quy trình bán hàng</w:t>
            </w:r>
          </w:p>
        </w:tc>
        <w:tc>
          <w:p w14:paraId="508EA748">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Cho phép tra cứu QR cuối chuỗi; ghi nhận sự kiện bán lẻ</w:t>
            </w:r>
          </w:p>
        </w:tc>
      </w:tr>
      <w:tr w14:paraId="5EA240FB">
        <w:tc>
          <w:p w14:paraId="70E711D4">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Quy trình lưu trữ hồ sơ</w:t>
            </w:r>
          </w:p>
        </w:tc>
        <w:tc>
          <w:p w14:paraId="3CB2297B">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Lưu điện tử, có kiểm soát thay đổi, sẵn sàng xuất dữ liệu theo yêu cầu</w:t>
            </w:r>
          </w:p>
        </w:tc>
      </w:tr>
      <w:bookmarkEnd w:id="18"/>
    </w:tbl>
    <w:p w14:paraId="4A0E7154">
      <w:pPr>
        <w:pStyle w:val="5"/>
        <w:jc w:val="both"/>
        <w:rPr>
          <w:rFonts w:hint="default" w:ascii="Times New Roman Regular" w:hAnsi="Times New Roman Regular" w:cs="Times New Roman Regular"/>
          <w:color w:val="auto"/>
        </w:rPr>
      </w:pPr>
      <w:bookmarkStart w:id="19" w:name="chuẩn-bị-nhân-lực"/>
      <w:r>
        <w:rPr>
          <w:rFonts w:hint="default" w:ascii="Times New Roman Regular" w:hAnsi="Times New Roman Regular" w:cs="Times New Roman Regular"/>
          <w:color w:val="auto"/>
        </w:rPr>
        <w:t>5.3 Chuẩn bị nhân lực</w:t>
      </w:r>
    </w:p>
    <w:p w14:paraId="12504787">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Đầu mối TXNG</w:t>
      </w:r>
      <w:r>
        <w:rPr>
          <w:rFonts w:hint="default" w:ascii="Times New Roman Regular" w:hAnsi="Times New Roman Regular" w:cs="Times New Roman Regular"/>
          <w:color w:val="auto"/>
        </w:rPr>
        <w:t>: Bộ phận CNTT hoặc nhân viên được phân công là đầu mối triển khai.</w:t>
      </w:r>
    </w:p>
    <w:p w14:paraId="734A1CA1">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Cán bộ vận hành</w:t>
      </w:r>
      <w:r>
        <w:rPr>
          <w:rFonts w:hint="default" w:ascii="Times New Roman Regular" w:hAnsi="Times New Roman Regular" w:cs="Times New Roman Regular"/>
          <w:color w:val="auto"/>
        </w:rPr>
        <w:t>: Cán bộ nhập liệu, cập nhật sự kiện hàng ngày.</w:t>
      </w:r>
    </w:p>
    <w:p w14:paraId="7F9EC51F">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Cán bộ tuân thủ</w:t>
      </w:r>
      <w:r>
        <w:rPr>
          <w:rFonts w:hint="default" w:ascii="Times New Roman Regular" w:hAnsi="Times New Roman Regular" w:cs="Times New Roman Regular"/>
          <w:color w:val="auto"/>
        </w:rPr>
        <w:t>: Kiểm tra, báo cáo tình trạng tuân thủ định kỳ.</w:t>
      </w:r>
    </w:p>
    <w:p w14:paraId="65F2B203">
      <w:pPr>
        <w:pStyle w:val="14"/>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Lộ trình chuẩn bị của DN (khuyến nghị):</w:t>
      </w:r>
      <w:r>
        <w:rPr>
          <w:rFonts w:hint="default" w:ascii="Times New Roman Regular" w:hAnsi="Times New Roman Regular" w:cs="Times New Roman Regular"/>
          <w:color w:val="auto"/>
        </w:rPr>
        <w:t xml:space="preserve"> Dưới 3 tháng (DN lớn, có hệ thống ERP) | 3–6 tháng (DN vừa) | 6–12 tháng (DN nhỏ, chưa số hóa).</w:t>
      </w:r>
    </w:p>
    <w:p w14:paraId="3054988C">
      <w:p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pict>
          <v:rect id="_x0000_i1030" o:spt="1" style="height:1.5pt;width:0pt;" coordsize="21600,21600" o:hr="t" o:hrstd="t" o:hralign="center">
            <v:path/>
            <v:fill focussize="0,0"/>
            <v:stroke/>
            <v:imagedata o:title=""/>
            <o:lock v:ext="edit"/>
            <w10:wrap type="none"/>
            <w10:anchorlock/>
          </v:rect>
        </w:pict>
      </w:r>
    </w:p>
    <w:bookmarkEnd w:id="16"/>
    <w:bookmarkEnd w:id="19"/>
    <w:p w14:paraId="43120E3D">
      <w:pPr>
        <w:pStyle w:val="4"/>
        <w:jc w:val="both"/>
        <w:rPr>
          <w:rFonts w:hint="default" w:ascii="Times New Roman Regular" w:hAnsi="Times New Roman Regular" w:cs="Times New Roman Regular"/>
          <w:color w:val="auto"/>
        </w:rPr>
      </w:pPr>
      <w:bookmarkStart w:id="20" w:name="lý-do-doanh-nghiệp-tham-gia-hệ-thống"/>
      <w:r>
        <w:rPr>
          <w:rFonts w:hint="default" w:ascii="Times New Roman Regular" w:hAnsi="Times New Roman Regular" w:cs="Times New Roman Regular"/>
          <w:color w:val="auto"/>
        </w:rPr>
        <w:t>6. LÝ DO DOANH NGHIỆP THAM GIA HỆ THỐNG</w:t>
      </w:r>
    </w:p>
    <w:p w14:paraId="446AFA36">
      <w:pPr>
        <w:pStyle w:val="5"/>
        <w:jc w:val="both"/>
        <w:rPr>
          <w:rFonts w:hint="default" w:ascii="Times New Roman Regular" w:hAnsi="Times New Roman Regular" w:cs="Times New Roman Regular"/>
          <w:color w:val="auto"/>
        </w:rPr>
      </w:pPr>
      <w:bookmarkStart w:id="21" w:name="lý-do-bắt-buộc-quy-định-pháp-luật"/>
      <w:r>
        <w:rPr>
          <w:rFonts w:hint="default" w:ascii="Times New Roman Regular" w:hAnsi="Times New Roman Regular" w:cs="Times New Roman Regular"/>
          <w:color w:val="auto"/>
        </w:rPr>
        <w:t>6.1 Lý do bắt buộc (quy định pháp luật)</w:t>
      </w:r>
    </w:p>
    <w:p w14:paraId="4042EACB">
      <w:pPr>
        <w:pStyle w:val="24"/>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Theo </w:t>
      </w:r>
      <w:r>
        <w:rPr>
          <w:rFonts w:hint="default" w:ascii="Times New Roman Regular" w:hAnsi="Times New Roman Regular" w:cs="Times New Roman Regular"/>
          <w:b/>
          <w:bCs/>
          <w:color w:val="auto"/>
        </w:rPr>
        <w:t>Dự thảo Thông tư BCT</w:t>
      </w:r>
      <w:r>
        <w:rPr>
          <w:rFonts w:hint="default" w:ascii="Times New Roman Regular" w:hAnsi="Times New Roman Regular" w:cs="Times New Roman Regular"/>
          <w:color w:val="auto"/>
        </w:rPr>
        <w:t xml:space="preserve"> (hiệu lực 01/07/2026) và </w:t>
      </w:r>
      <w:r>
        <w:rPr>
          <w:rFonts w:hint="default" w:ascii="Times New Roman Regular" w:hAnsi="Times New Roman Regular" w:cs="Times New Roman Regular"/>
          <w:b/>
          <w:bCs/>
          <w:color w:val="auto"/>
        </w:rPr>
        <w:t>Nghị định 37/2026/NĐ-CP</w:t>
      </w:r>
      <w:r>
        <w:rPr>
          <w:rFonts w:hint="default" w:ascii="Times New Roman Regular" w:hAnsi="Times New Roman Regular" w:cs="Times New Roman Regular"/>
          <w:color w:val="auto"/>
        </w:rPr>
        <w:t xml:space="preserve"> (23/01/2026):</w:t>
      </w:r>
    </w:p>
    <w:p w14:paraId="214C85F1">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Bắt buộc</w:t>
      </w:r>
      <w:r>
        <w:rPr>
          <w:rFonts w:hint="default" w:ascii="Times New Roman Regular" w:hAnsi="Times New Roman Regular" w:cs="Times New Roman Regular"/>
          <w:color w:val="auto"/>
        </w:rPr>
        <w:t xml:space="preserve"> áp dụng đối với sản phẩm, hàng hóa có </w:t>
      </w:r>
      <w:r>
        <w:rPr>
          <w:rFonts w:hint="default" w:ascii="Times New Roman Regular" w:hAnsi="Times New Roman Regular" w:cs="Times New Roman Regular"/>
          <w:b/>
          <w:bCs/>
          <w:color w:val="auto"/>
        </w:rPr>
        <w:t>mức độ rủi ro cao</w:t>
      </w:r>
      <w:r>
        <w:rPr>
          <w:rFonts w:hint="default" w:ascii="Times New Roman" w:hAnsi="Times New Roman Regular" w:cs="Times New Roman Regular"/>
          <w:b/>
          <w:bCs/>
          <w:color w:val="C00000"/>
          <w:lang w:val="vi-VN"/>
        </w:rPr>
        <w:t xml:space="preserve"> (hiện tại không còn rủi ro cao)</w:t>
      </w:r>
      <w:r>
        <w:rPr>
          <w:rFonts w:hint="default" w:ascii="Times New Roman Regular" w:hAnsi="Times New Roman Regular" w:cs="Times New Roman Regular"/>
          <w:color w:val="auto"/>
        </w:rPr>
        <w:t xml:space="preserve"> thuộc phạm vi quản lý của BCT (Phụ lục II Thông tư BCT), bao gồm: hóa chất, tiền chất công nghiệp, tiền chất thuốc nổ, vật liệu nổ công nghiệp, nguyên liệu thuốc lá, sữa, đồ uống có/không cồn, dầu thực vật…</w:t>
      </w:r>
    </w:p>
    <w:p w14:paraId="4A7EDBD5">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Giai đoạn 1</w:t>
      </w:r>
      <w:r>
        <w:rPr>
          <w:rFonts w:hint="default" w:ascii="Times New Roman Regular" w:hAnsi="Times New Roman Regular" w:cs="Times New Roman Regular"/>
          <w:color w:val="auto"/>
        </w:rPr>
        <w:t xml:space="preserve"> (từ ngày TT có hiệu lực): DN đăng ký tài khoản, nhận mã định danh sản phẩm.</w:t>
      </w:r>
    </w:p>
    <w:p w14:paraId="03AA1707">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Giai đoạn 2</w:t>
      </w:r>
      <w:r>
        <w:rPr>
          <w:rFonts w:hint="default" w:ascii="Times New Roman Regular" w:hAnsi="Times New Roman Regular" w:cs="Times New Roman Regular"/>
          <w:color w:val="auto"/>
        </w:rPr>
        <w:t xml:space="preserve"> (từ 01/01/2027): DN thực hiện đầy đủ TXNG trước khi đưa hàng vào lưu thông.</w:t>
      </w:r>
    </w:p>
    <w:p w14:paraId="24BB2BBC">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Hệ thống TXNG nội bộ của DN </w:t>
      </w:r>
      <w:r>
        <w:rPr>
          <w:rFonts w:hint="default" w:ascii="Times New Roman Regular" w:hAnsi="Times New Roman Regular" w:cs="Times New Roman Regular"/>
          <w:b/>
          <w:bCs/>
          <w:color w:val="auto"/>
        </w:rPr>
        <w:t>phải kết nối với VeriGoods++</w:t>
      </w:r>
      <w:r>
        <w:rPr>
          <w:rFonts w:hint="default" w:ascii="Times New Roman Regular" w:hAnsi="Times New Roman Regular" w:cs="Times New Roman Regular"/>
          <w:color w:val="auto"/>
        </w:rPr>
        <w:t xml:space="preserve"> (bắt buộc theo Điều 9 Thông tư).</w:t>
      </w:r>
    </w:p>
    <w:p w14:paraId="137D51A7">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DN vi phạm sẽ bị: Tạm dừng / Hủy hiển thị thông tin TXNG; bị xử lý vi phạm hành chính theo pháp luật.</w:t>
      </w:r>
    </w:p>
    <w:bookmarkEnd w:id="21"/>
    <w:p w14:paraId="1D39FA9E">
      <w:pPr>
        <w:pStyle w:val="5"/>
        <w:jc w:val="both"/>
        <w:rPr>
          <w:rFonts w:hint="default" w:ascii="Times New Roman Regular" w:hAnsi="Times New Roman Regular" w:cs="Times New Roman Regular"/>
          <w:color w:val="auto"/>
        </w:rPr>
      </w:pPr>
      <w:bookmarkStart w:id="22" w:name="lợi-ích-mang-lại-động-lực-tự-nguyện"/>
      <w:r>
        <w:rPr>
          <w:rFonts w:hint="default" w:ascii="Times New Roman Regular" w:hAnsi="Times New Roman Regular" w:cs="Times New Roman Regular"/>
          <w:color w:val="auto"/>
        </w:rPr>
        <w:t>6.2 Lợi ích mang lại (động lực tự nguyện)</w:t>
      </w:r>
    </w:p>
    <w:tbl>
      <w:tblPr>
        <w:tblStyle w:val="42"/>
        <w:tblW w:w="5000" w:type="pct"/>
        <w:tblInd w:w="0" w:type="dxa"/>
        <w:tblLayout w:type="fixed"/>
        <w:tblCellMar>
          <w:top w:w="0" w:type="dxa"/>
          <w:left w:w="108" w:type="dxa"/>
          <w:bottom w:w="0" w:type="dxa"/>
          <w:right w:w="108" w:type="dxa"/>
        </w:tblCellMar>
      </w:tblPr>
      <w:tblGrid>
        <w:gridCol w:w="3783"/>
        <w:gridCol w:w="5073"/>
      </w:tblGrid>
      <w:tr w14:paraId="15C09621">
        <w:trPr>
          <w:tblHeader/>
        </w:trPr>
        <w:tc>
          <w:tcPr>
            <w:tcW w:w="2135" w:type="pct"/>
          </w:tcPr>
          <w:p w14:paraId="09330E0E">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Lợi ích</w:t>
            </w:r>
          </w:p>
        </w:tc>
        <w:tc>
          <w:tcPr>
            <w:tcW w:w="2864" w:type="pct"/>
          </w:tcPr>
          <w:p w14:paraId="503B3DE2">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Mô tả</w:t>
            </w:r>
          </w:p>
        </w:tc>
      </w:tr>
      <w:tr w14:paraId="6C4A3228">
        <w:tc>
          <w:tcPr>
            <w:tcW w:w="2135" w:type="pct"/>
          </w:tcPr>
          <w:p w14:paraId="196FBE41">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Chống hàng giả, bảo vệ thương hiệu</w:t>
            </w:r>
          </w:p>
        </w:tc>
        <w:tc>
          <w:tcPr>
            <w:tcW w:w="2864" w:type="pct"/>
          </w:tcPr>
          <w:p w14:paraId="2C08BA43">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Người tiêu dùng có thể xác thực tính hợp lệ của sản phẩm; ngăn chặn hàng nhái</w:t>
            </w:r>
          </w:p>
        </w:tc>
      </w:tr>
      <w:tr w14:paraId="2DB1DA78">
        <w:tc>
          <w:tcPr>
            <w:tcW w:w="2135" w:type="pct"/>
          </w:tcPr>
          <w:p w14:paraId="4DBD5B66">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Tăng niềm tin NTD</w:t>
            </w:r>
          </w:p>
        </w:tc>
        <w:tc>
          <w:tcPr>
            <w:tcW w:w="2864" w:type="pct"/>
          </w:tcPr>
          <w:p w14:paraId="10480D5A">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Minh bạch thông tin giúp tăng độ tin cậy, thúc đẩy doanh số</w:t>
            </w:r>
          </w:p>
        </w:tc>
      </w:tr>
      <w:tr w14:paraId="2FC30A88">
        <w:tc>
          <w:tcPr>
            <w:tcW w:w="2135" w:type="pct"/>
          </w:tcPr>
          <w:p w14:paraId="2AE57E06">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Hỗ trợ xuất khẩu</w:t>
            </w:r>
          </w:p>
        </w:tc>
        <w:tc>
          <w:tcPr>
            <w:tcW w:w="2864" w:type="pct"/>
          </w:tcPr>
          <w:p w14:paraId="20CFAD3B">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Đáp ứng yêu cầu TXNG của EU (EVFTA), Mỹ, Nhật, Trung Quốc; tránh rào cản kỹ thuật</w:t>
            </w:r>
          </w:p>
        </w:tc>
      </w:tr>
      <w:tr w14:paraId="6DD18AA2">
        <w:tc>
          <w:tcPr>
            <w:tcW w:w="2135" w:type="pct"/>
          </w:tcPr>
          <w:p w14:paraId="4A3C53A1">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Tích xanh</w:t>
            </w:r>
          </w:p>
        </w:tc>
        <w:tc>
          <w:tcPr>
            <w:tcW w:w="2864" w:type="pct"/>
          </w:tcPr>
          <w:p w14:paraId="5571A5A8">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DN tự nguyện được gắn “tích xanh” hiển thị trên sản phẩm, sàn TMĐT, tài liệu</w:t>
            </w:r>
          </w:p>
        </w:tc>
      </w:tr>
      <w:tr w14:paraId="0E366FAE">
        <w:tc>
          <w:tcPr>
            <w:tcW w:w="2135" w:type="pct"/>
          </w:tcPr>
          <w:p w14:paraId="44F20649">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Giảm chi phí thu hồi</w:t>
            </w:r>
          </w:p>
        </w:tc>
        <w:tc>
          <w:tcPr>
            <w:tcW w:w="2864" w:type="pct"/>
          </w:tcPr>
          <w:p w14:paraId="49699175">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Xác định nhanh lô/serial bị lỗi, thu hồi đúng mục tiêu, giảm thiệt hại</w:t>
            </w:r>
          </w:p>
        </w:tc>
      </w:tr>
      <w:tr w14:paraId="2C12C605">
        <w:tc>
          <w:tcPr>
            <w:tcW w:w="2135" w:type="pct"/>
          </w:tcPr>
          <w:p w14:paraId="176D96E3">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Quảng bá thương hiệu</w:t>
            </w:r>
          </w:p>
        </w:tc>
        <w:tc>
          <w:tcPr>
            <w:tcW w:w="2864" w:type="pct"/>
          </w:tcPr>
          <w:p w14:paraId="321D66C5">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BCT tổ chức truyền thông, giới thiệu DN tiêu biểu thực hiện TXNG tốt</w:t>
            </w:r>
          </w:p>
        </w:tc>
      </w:tr>
      <w:tr w14:paraId="048501B9">
        <w:tc>
          <w:tcPr>
            <w:tcW w:w="2135" w:type="pct"/>
          </w:tcPr>
          <w:p w14:paraId="657B00E8">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Hỗ trợ kỹ thuật ưu tiên</w:t>
            </w:r>
          </w:p>
        </w:tc>
        <w:tc>
          <w:tcPr>
            <w:tcW w:w="2864" w:type="pct"/>
          </w:tcPr>
          <w:p w14:paraId="1C3617D8">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Được BCT hỗ trợ kỹ thuật, hướng dẫn kết nối, tư vấn miễn phí</w:t>
            </w:r>
          </w:p>
        </w:tc>
      </w:tr>
      <w:tr w14:paraId="37631247">
        <w:tc>
          <w:tcPr>
            <w:tcW w:w="2135" w:type="pct"/>
          </w:tcPr>
          <w:p w14:paraId="29CF3492">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Tiếp cận chuỗi phân phối</w:t>
            </w:r>
          </w:p>
        </w:tc>
        <w:tc>
          <w:tcPr>
            <w:tcW w:w="2864" w:type="pct"/>
          </w:tcPr>
          <w:p w14:paraId="458FAC59">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Yêu cầu TXNG là điều kiện vào siêu thị, sàn TMĐT, chuỗi phân phối lớn</w:t>
            </w:r>
          </w:p>
        </w:tc>
      </w:tr>
      <w:tr w14:paraId="209D6E5D">
        <w:tc>
          <w:tcPr>
            <w:tcW w:w="2135" w:type="pct"/>
          </w:tcPr>
          <w:p w14:paraId="09E33D5E">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Tối ưu chuỗi cung ứng</w:t>
            </w:r>
          </w:p>
        </w:tc>
        <w:tc>
          <w:tcPr>
            <w:tcW w:w="2864" w:type="pct"/>
          </w:tcPr>
          <w:p w14:paraId="7CD4CBFE">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Dữ liệu sự kiện giúp DN phân tích hiệu quả vận chuyển, tồn kho</w:t>
            </w:r>
          </w:p>
        </w:tc>
      </w:tr>
    </w:tbl>
    <w:p w14:paraId="119857F2">
      <w:p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pict>
          <v:rect id="_x0000_i1031" o:spt="1" style="height:1.5pt;width:0pt;" coordsize="21600,21600" o:hr="t" o:hrstd="t" o:hralign="center">
            <v:path/>
            <v:fill focussize="0,0"/>
            <v:stroke/>
            <v:imagedata o:title=""/>
            <o:lock v:ext="edit"/>
            <w10:wrap type="none"/>
            <w10:anchorlock/>
          </v:rect>
        </w:pict>
      </w:r>
    </w:p>
    <w:bookmarkEnd w:id="20"/>
    <w:bookmarkEnd w:id="22"/>
    <w:p w14:paraId="5B262FBF">
      <w:pPr>
        <w:pStyle w:val="4"/>
        <w:jc w:val="both"/>
        <w:rPr>
          <w:rFonts w:hint="default" w:ascii="Times New Roman Regular" w:hAnsi="Times New Roman Regular" w:cs="Times New Roman Regular"/>
          <w:color w:val="auto"/>
        </w:rPr>
      </w:pPr>
      <w:bookmarkStart w:id="23" w:name="Xf7d12c5510c589ce7bd2bd399c36ee4516d2a76"/>
      <w:r>
        <w:rPr>
          <w:rFonts w:hint="default" w:ascii="Times New Roman Regular" w:hAnsi="Times New Roman Regular" w:cs="Times New Roman Regular"/>
          <w:color w:val="auto"/>
        </w:rPr>
        <w:t>7. HÀNH LANG PHÁP LÝ CẦN CHUẨN BỊ VÀ BAN HÀNH</w:t>
      </w:r>
    </w:p>
    <w:p w14:paraId="50E0981C">
      <w:pPr>
        <w:pStyle w:val="5"/>
        <w:jc w:val="both"/>
        <w:rPr>
          <w:rFonts w:hint="default" w:ascii="Times New Roman Regular" w:hAnsi="Times New Roman Regular" w:cs="Times New Roman Regular"/>
          <w:color w:val="auto"/>
        </w:rPr>
      </w:pPr>
      <w:bookmarkStart w:id="24" w:name="Xf77778fc38c6cb0d8ac956616858e42bca7b0cd"/>
      <w:r>
        <w:rPr>
          <w:rFonts w:hint="default" w:ascii="Times New Roman Regular" w:hAnsi="Times New Roman Regular" w:cs="Times New Roman Regular"/>
          <w:color w:val="auto"/>
        </w:rPr>
        <w:t>7.1 Các văn bản đã có / đang trong quá trình ban hành</w:t>
      </w:r>
    </w:p>
    <w:tbl>
      <w:tblPr>
        <w:tblStyle w:val="42"/>
        <w:tblW w:w="5000" w:type="pct"/>
        <w:tblInd w:w="0" w:type="dxa"/>
        <w:tblLayout w:type="fixed"/>
        <w:tblCellMar>
          <w:top w:w="0" w:type="dxa"/>
          <w:left w:w="108" w:type="dxa"/>
          <w:bottom w:w="0" w:type="dxa"/>
          <w:right w:w="108" w:type="dxa"/>
        </w:tblCellMar>
      </w:tblPr>
      <w:tblGrid>
        <w:gridCol w:w="3100"/>
        <w:gridCol w:w="3276"/>
        <w:gridCol w:w="2480"/>
      </w:tblGrid>
      <w:tr w14:paraId="6738339C">
        <w:trPr>
          <w:tblHeader/>
        </w:trPr>
        <w:tc>
          <w:tcPr>
            <w:tcW w:w="1750" w:type="pct"/>
          </w:tcPr>
          <w:p w14:paraId="7C09E18D">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Văn bản</w:t>
            </w:r>
          </w:p>
        </w:tc>
        <w:tc>
          <w:tcPr>
            <w:tcW w:w="1849" w:type="pct"/>
          </w:tcPr>
          <w:p w14:paraId="501EB925">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Nội dung chính</w:t>
            </w:r>
          </w:p>
        </w:tc>
        <w:tc>
          <w:tcPr>
            <w:tcW w:w="1400" w:type="pct"/>
          </w:tcPr>
          <w:p w14:paraId="73B82340">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Tình trạng</w:t>
            </w:r>
          </w:p>
        </w:tc>
      </w:tr>
      <w:tr w14:paraId="4817F42D">
        <w:tc>
          <w:tcPr>
            <w:tcW w:w="1750" w:type="pct"/>
          </w:tcPr>
          <w:p w14:paraId="5DF357ED">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Nghị định 37/2026/NĐ-CP</w:t>
            </w:r>
            <w:r>
              <w:rPr>
                <w:rFonts w:hint="default" w:ascii="Times New Roman Regular" w:hAnsi="Times New Roman Regular" w:cs="Times New Roman Regular"/>
                <w:color w:val="auto"/>
              </w:rPr>
              <w:t xml:space="preserve"> (23/01/2026)</w:t>
            </w:r>
          </w:p>
        </w:tc>
        <w:tc>
          <w:tcPr>
            <w:tcW w:w="1849" w:type="pct"/>
          </w:tcPr>
          <w:p w14:paraId="4C11A8A3">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Thi hành Luật Chất lượng SP, HH; quy định TXNG tại Điều 23</w:t>
            </w:r>
          </w:p>
        </w:tc>
        <w:tc>
          <w:tcPr>
            <w:tcW w:w="1400" w:type="pct"/>
          </w:tcPr>
          <w:p w14:paraId="50414190">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Đã ban hành</w:t>
            </w:r>
          </w:p>
        </w:tc>
      </w:tr>
      <w:tr w14:paraId="2E180CC3">
        <w:tc>
          <w:tcPr>
            <w:tcW w:w="1750" w:type="pct"/>
          </w:tcPr>
          <w:p w14:paraId="50202267">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Dự thảo Thông tư BCT</w:t>
            </w:r>
          </w:p>
        </w:tc>
        <w:tc>
          <w:tcPr>
            <w:tcW w:w="1849" w:type="pct"/>
          </w:tcPr>
          <w:p w14:paraId="5D0A9E8C">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Quy định chi tiết về TXNG SP, HH thuộc phạm vi BCT; lộ trình áp dụng</w:t>
            </w:r>
          </w:p>
        </w:tc>
        <w:tc>
          <w:tcPr>
            <w:tcW w:w="1400" w:type="pct"/>
          </w:tcPr>
          <w:p w14:paraId="782AE76A">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Dự thảo, hiệu lực 01/07/2026</w:t>
            </w:r>
          </w:p>
        </w:tc>
      </w:tr>
      <w:tr w14:paraId="6647BBBA">
        <w:tc>
          <w:tcPr>
            <w:tcW w:w="1750" w:type="pct"/>
          </w:tcPr>
          <w:p w14:paraId="63ADA42D">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Quyết định 400/QĐ-BCT</w:t>
            </w:r>
          </w:p>
        </w:tc>
        <w:tc>
          <w:tcPr>
            <w:tcW w:w="1849" w:type="pct"/>
          </w:tcPr>
          <w:p w14:paraId="7EA6EF65">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Kế hoạch thực hiện nhiệm vụ xây dựng, vận hành hệ thống TXNG</w:t>
            </w:r>
          </w:p>
        </w:tc>
        <w:tc>
          <w:tcPr>
            <w:tcW w:w="1400" w:type="pct"/>
          </w:tcPr>
          <w:p w14:paraId="04D20DE1">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Đã ban hành</w:t>
            </w:r>
          </w:p>
        </w:tc>
      </w:tr>
      <w:tr w14:paraId="13D2AF43">
        <w:tc>
          <w:tcPr>
            <w:tcW w:w="1750" w:type="pct"/>
          </w:tcPr>
          <w:p w14:paraId="659330B4">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Nghị định BCA (C12)</w:t>
            </w:r>
          </w:p>
        </w:tc>
        <w:tc>
          <w:tcPr>
            <w:tcW w:w="1849" w:type="pct"/>
          </w:tcPr>
          <w:p w14:paraId="36EC1E0A">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Quy định về UID/DID/Blockchain Quốc gia; kết nối AgentNode/NDOP</w:t>
            </w:r>
          </w:p>
        </w:tc>
        <w:tc>
          <w:tcPr>
            <w:tcW w:w="1400" w:type="pct"/>
          </w:tcPr>
          <w:p w14:paraId="6C4290D4">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Đã ban hành</w:t>
            </w:r>
          </w:p>
        </w:tc>
      </w:tr>
      <w:bookmarkEnd w:id="24"/>
    </w:tbl>
    <w:p w14:paraId="03BA5E12">
      <w:pPr>
        <w:pStyle w:val="5"/>
        <w:jc w:val="both"/>
        <w:rPr>
          <w:rFonts w:hint="default" w:ascii="Times New Roman Regular" w:hAnsi="Times New Roman Regular" w:cs="Times New Roman Regular"/>
          <w:color w:val="auto"/>
        </w:rPr>
      </w:pPr>
      <w:bookmarkStart w:id="25" w:name="Xd1efdd042343ebc25652def1dde544479ec8954"/>
      <w:r>
        <w:rPr>
          <w:rFonts w:hint="default" w:ascii="Times New Roman Regular" w:hAnsi="Times New Roman Regular" w:cs="Times New Roman Regular"/>
          <w:color w:val="auto"/>
        </w:rPr>
        <w:t>7.2 Các quy định cần bổ sung / ban hành sau go-live</w:t>
      </w:r>
    </w:p>
    <w:p w14:paraId="736749DC">
      <w:pPr>
        <w:pStyle w:val="6"/>
        <w:jc w:val="both"/>
        <w:rPr>
          <w:rFonts w:hint="default" w:ascii="Times New Roman Regular" w:hAnsi="Times New Roman Regular" w:cs="Times New Roman Regular"/>
          <w:color w:val="auto"/>
        </w:rPr>
      </w:pPr>
      <w:bookmarkStart w:id="26" w:name="quy-định-về-vận-hành-hệ-thống"/>
      <w:r>
        <w:rPr>
          <w:rFonts w:hint="default" w:ascii="Times New Roman Regular" w:hAnsi="Times New Roman Regular" w:cs="Times New Roman Regular"/>
          <w:color w:val="auto"/>
        </w:rPr>
        <w:t>7.2.1 Quy định về vận hành hệ thống</w:t>
      </w:r>
    </w:p>
    <w:p w14:paraId="7446BD32">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Quy chế vận hành VeriGoods++</w:t>
      </w:r>
      <w:r>
        <w:rPr>
          <w:rFonts w:hint="default" w:ascii="Times New Roman Regular" w:hAnsi="Times New Roman Regular" w:cs="Times New Roman Regular"/>
          <w:color w:val="auto"/>
        </w:rPr>
        <w:t>: Ban hành quy chế nội bộ về tổ chức, vận hành, khai thác hệ thống sau go-live.</w:t>
      </w:r>
    </w:p>
    <w:p w14:paraId="2E2FAD1A">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Quy định phân cấp, phân quyền</w:t>
      </w:r>
      <w:r>
        <w:rPr>
          <w:rFonts w:hint="default" w:ascii="Times New Roman Regular" w:hAnsi="Times New Roman Regular" w:cs="Times New Roman Regular"/>
          <w:color w:val="auto"/>
        </w:rPr>
        <w:t>: Quy định rõ quyền truy cập và trách nhiệm của từng nhóm người dùng (Cục, Sở, DN, QLTT).</w:t>
      </w:r>
    </w:p>
    <w:p w14:paraId="2D7156D9">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SLA vận hành</w:t>
      </w:r>
      <w:r>
        <w:rPr>
          <w:rFonts w:hint="default" w:ascii="Times New Roman Regular" w:hAnsi="Times New Roman Regular" w:cs="Times New Roman Regular"/>
          <w:color w:val="auto"/>
        </w:rPr>
        <w:t>: Cam kết mức độ dịch vụ (uptime, thời gian phản hồi, hỗ trợ kỹ thuật).</w:t>
      </w:r>
    </w:p>
    <w:bookmarkEnd w:id="26"/>
    <w:p w14:paraId="0DA086FA">
      <w:pPr>
        <w:pStyle w:val="6"/>
        <w:jc w:val="both"/>
        <w:rPr>
          <w:rFonts w:hint="default" w:ascii="Times New Roman Regular" w:hAnsi="Times New Roman Regular" w:cs="Times New Roman Regular"/>
          <w:color w:val="auto"/>
        </w:rPr>
      </w:pPr>
      <w:bookmarkStart w:id="27" w:name="quy-định-về-đại-lý-dịch-vụ-txng"/>
      <w:r>
        <w:rPr>
          <w:rFonts w:hint="default" w:ascii="Times New Roman Regular" w:hAnsi="Times New Roman Regular" w:cs="Times New Roman Regular"/>
          <w:color w:val="auto"/>
        </w:rPr>
        <w:t>7.2.2 Quy định về Đại lý Dịch vụ TXNG</w:t>
      </w:r>
    </w:p>
    <w:p w14:paraId="517BA387">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Điều kiện cấp phép Đại lý TXNG</w:t>
      </w:r>
      <w:r>
        <w:rPr>
          <w:rFonts w:hint="default" w:ascii="Times New Roman Regular" w:hAnsi="Times New Roman Regular" w:cs="Times New Roman Regular"/>
          <w:color w:val="auto"/>
        </w:rPr>
        <w:t>: Tiêu chuẩn về năng lực kỹ thuật, nhân lực, tài chính.</w:t>
      </w:r>
    </w:p>
    <w:p w14:paraId="5BCA2959">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Quy trình đăng ký, cấp phép và quản lý Đại lý</w:t>
      </w:r>
      <w:r>
        <w:rPr>
          <w:rFonts w:hint="default" w:ascii="Times New Roman Regular" w:hAnsi="Times New Roman Regular" w:cs="Times New Roman Regular"/>
          <w:color w:val="auto"/>
        </w:rPr>
        <w:t>: Tương tự cơ chế đại lý thuế điện tử.</w:t>
      </w:r>
    </w:p>
    <w:p w14:paraId="3935C106">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Trách nhiệm pháp lý của Đại lý</w:t>
      </w:r>
      <w:r>
        <w:rPr>
          <w:rFonts w:hint="default" w:ascii="Times New Roman Regular" w:hAnsi="Times New Roman Regular" w:cs="Times New Roman Regular"/>
          <w:color w:val="auto"/>
        </w:rPr>
        <w:t>: Nghĩa vụ bảo mật dữ liệu, độ chính xác thông tin, trách nhiệm liên đới với DN.</w:t>
      </w:r>
    </w:p>
    <w:p w14:paraId="3DDFAFFF">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Phí dịch vụ và cơ chế định giá</w:t>
      </w:r>
      <w:r>
        <w:rPr>
          <w:rFonts w:hint="default" w:ascii="Times New Roman Regular" w:hAnsi="Times New Roman Regular" w:cs="Times New Roman Regular"/>
          <w:color w:val="auto"/>
        </w:rPr>
        <w:t>: Khung giá tham chiếu để tránh độc quyền.</w:t>
      </w:r>
    </w:p>
    <w:bookmarkEnd w:id="27"/>
    <w:p w14:paraId="7DF00191">
      <w:pPr>
        <w:pStyle w:val="6"/>
        <w:jc w:val="both"/>
        <w:rPr>
          <w:rFonts w:hint="default" w:ascii="Times New Roman Regular" w:hAnsi="Times New Roman Regular" w:cs="Times New Roman Regular"/>
          <w:color w:val="auto"/>
        </w:rPr>
      </w:pPr>
      <w:bookmarkStart w:id="28" w:name="quy-định-về-dữ-liệu-và-kết-nối"/>
      <w:r>
        <w:rPr>
          <w:rFonts w:hint="default" w:ascii="Times New Roman Regular" w:hAnsi="Times New Roman Regular" w:cs="Times New Roman Regular"/>
          <w:color w:val="auto"/>
        </w:rPr>
        <w:t>7.2.3 Quy định về dữ liệu và kết nối</w:t>
      </w:r>
    </w:p>
    <w:p w14:paraId="7A14CCF9">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Tiêu chuẩn kỹ thuật kết nối API</w:t>
      </w:r>
      <w:r>
        <w:rPr>
          <w:rFonts w:hint="default" w:ascii="Times New Roman Regular" w:hAnsi="Times New Roman Regular" w:cs="Times New Roman Regular"/>
          <w:color w:val="auto"/>
        </w:rPr>
        <w:t>: Đặc tả kỹ thuật (API spec), định dạng dữ liệu (EPCIS 2.0, GS1 Digital Link) cho DN tự kết nối.</w:t>
      </w:r>
    </w:p>
    <w:p w14:paraId="4F04A684">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Quy định về bảo mật, an toàn thông tin</w:t>
      </w:r>
      <w:r>
        <w:rPr>
          <w:rFonts w:hint="default" w:ascii="Times New Roman Regular" w:hAnsi="Times New Roman Regular" w:cs="Times New Roman Regular"/>
          <w:color w:val="auto"/>
        </w:rPr>
        <w:t>: Yêu cầu mã hóa dữ liệu, xác thực, phòng chống tấn công mạng.</w:t>
      </w:r>
    </w:p>
    <w:p w14:paraId="77FF9BC1">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Chính sách dữ liệu</w:t>
      </w:r>
      <w:r>
        <w:rPr>
          <w:rFonts w:hint="default" w:ascii="Times New Roman Regular" w:hAnsi="Times New Roman Regular" w:cs="Times New Roman Regular"/>
          <w:color w:val="auto"/>
        </w:rPr>
        <w:t>: Quy định ai được truy cập dữ liệu nào, thời hạn lưu trữ, quyền xóa/chỉnh sửa.</w:t>
      </w:r>
    </w:p>
    <w:p w14:paraId="77A66E30">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Quy định liên thông</w:t>
      </w:r>
      <w:r>
        <w:rPr>
          <w:rFonts w:hint="default" w:ascii="Times New Roman Regular" w:hAnsi="Times New Roman Regular" w:cs="Times New Roman Regular"/>
          <w:color w:val="auto"/>
        </w:rPr>
        <w:t xml:space="preserve">: </w:t>
      </w:r>
      <w:r>
        <w:rPr>
          <w:rFonts w:hint="default" w:ascii="Times New Roman" w:hAnsi="Times New Roman Regular" w:cs="Times New Roman Regular"/>
          <w:color w:val="auto"/>
          <w:lang w:val="vi-VN"/>
        </w:rPr>
        <w:t>Nền tảng quốc gia về định danh, truy xuất nguồn gốc; Nền tảng chuỗi khối quốc gia; GS1 Việt Nam</w:t>
      </w:r>
      <w:r>
        <w:rPr>
          <w:rFonts w:hint="default" w:ascii="Times New Roman Regular" w:hAnsi="Times New Roman Regular" w:cs="Times New Roman Regular"/>
          <w:color w:val="auto"/>
        </w:rPr>
        <w:t>.</w:t>
      </w:r>
    </w:p>
    <w:bookmarkEnd w:id="28"/>
    <w:p w14:paraId="11B07474">
      <w:pPr>
        <w:pStyle w:val="6"/>
        <w:jc w:val="both"/>
        <w:rPr>
          <w:rFonts w:hint="default" w:ascii="Times New Roman Regular" w:hAnsi="Times New Roman Regular" w:cs="Times New Roman Regular"/>
          <w:color w:val="auto"/>
        </w:rPr>
      </w:pPr>
      <w:bookmarkStart w:id="29" w:name="quy-định-về-chế-tài-và-xử-phạt"/>
      <w:r>
        <w:rPr>
          <w:rFonts w:hint="default" w:ascii="Times New Roman Regular" w:hAnsi="Times New Roman Regular" w:cs="Times New Roman Regular"/>
          <w:color w:val="auto"/>
        </w:rPr>
        <w:t>7.2.4 Quy định về chế tài và xử phạt</w:t>
      </w:r>
    </w:p>
    <w:p w14:paraId="55146EBE">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Mức xử phạt vi phạm TXNG</w:t>
      </w:r>
      <w:r>
        <w:rPr>
          <w:rFonts w:hint="default" w:ascii="Times New Roman Regular" w:hAnsi="Times New Roman Regular" w:cs="Times New Roman Regular"/>
          <w:color w:val="auto"/>
        </w:rPr>
        <w:t>: Quy định mức phạt cụ thể cho hành vi không khai báo, khai báo sai, không kết nối hệ thống.</w:t>
      </w:r>
    </w:p>
    <w:p w14:paraId="19742CF0">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Thủ tục tạm dừng / thu hồi mã TXNG</w:t>
      </w:r>
      <w:r>
        <w:rPr>
          <w:rFonts w:hint="default" w:ascii="Times New Roman Regular" w:hAnsi="Times New Roman Regular" w:cs="Times New Roman Regular"/>
          <w:color w:val="auto"/>
        </w:rPr>
        <w:t>: Quy trình rõ ràng đảm bảo quyền giải trình của DN.</w:t>
      </w:r>
    </w:p>
    <w:p w14:paraId="60B9D166">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Cơ chế khiếu nại, tố cáo</w:t>
      </w:r>
      <w:r>
        <w:rPr>
          <w:rFonts w:hint="default" w:ascii="Times New Roman Regular" w:hAnsi="Times New Roman Regular" w:cs="Times New Roman Regular"/>
          <w:color w:val="auto"/>
        </w:rPr>
        <w:t>: Cơ chế để NTD, DN phản ánh vi phạm và được xử lý.</w:t>
      </w:r>
    </w:p>
    <w:bookmarkEnd w:id="29"/>
    <w:p w14:paraId="01652864">
      <w:pPr>
        <w:pStyle w:val="6"/>
        <w:jc w:val="both"/>
        <w:rPr>
          <w:rFonts w:hint="default" w:ascii="Times New Roman Regular" w:hAnsi="Times New Roman Regular" w:cs="Times New Roman Regular"/>
          <w:color w:val="auto"/>
        </w:rPr>
      </w:pPr>
      <w:bookmarkStart w:id="30" w:name="quy-định-hỗ-trợ-dn-tham-gia"/>
      <w:r>
        <w:rPr>
          <w:rFonts w:hint="default" w:ascii="Times New Roman Regular" w:hAnsi="Times New Roman Regular" w:cs="Times New Roman Regular"/>
          <w:color w:val="auto"/>
        </w:rPr>
        <w:t>7.2.5 Quy định hỗ trợ DN tham gia</w:t>
      </w:r>
    </w:p>
    <w:p w14:paraId="51969347">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Chương trình hỗ trợ tài chính / kỹ thuật</w:t>
      </w:r>
      <w:r>
        <w:rPr>
          <w:rFonts w:hint="default" w:ascii="Times New Roman Regular" w:hAnsi="Times New Roman Regular" w:cs="Times New Roman Regular"/>
          <w:color w:val="auto"/>
        </w:rPr>
        <w:t>: Có thể xem xét hỗ trợ chi phí triển khai cho DNNVV trong giai đoạn đầu.</w:t>
      </w:r>
    </w:p>
    <w:p w14:paraId="563C141D">
      <w:pPr>
        <w:pStyle w:val="25"/>
        <w:numPr>
          <w:ilvl w:val="0"/>
          <w:numId w:val="1"/>
        </w:numPr>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Chính sách ưu đãi</w:t>
      </w:r>
      <w:r>
        <w:rPr>
          <w:rFonts w:hint="default" w:ascii="Times New Roman Regular" w:hAnsi="Times New Roman Regular" w:cs="Times New Roman Regular"/>
          <w:color w:val="auto"/>
        </w:rPr>
        <w:t>: DN tham gia sớm, tự nguyện được ưu đãi về phí, về tích xanh, về quảng bá.</w:t>
      </w:r>
    </w:p>
    <w:bookmarkEnd w:id="25"/>
    <w:bookmarkEnd w:id="30"/>
    <w:p w14:paraId="163BAD06">
      <w:pPr>
        <w:pStyle w:val="5"/>
        <w:jc w:val="both"/>
        <w:rPr>
          <w:rFonts w:hint="default" w:ascii="Times New Roman Regular" w:hAnsi="Times New Roman Regular" w:cs="Times New Roman Regular"/>
          <w:color w:val="auto"/>
        </w:rPr>
      </w:pPr>
      <w:bookmarkStart w:id="31" w:name="cơ-quan-phối-hợp-ban-hành"/>
      <w:r>
        <w:rPr>
          <w:rFonts w:hint="default" w:ascii="Times New Roman Regular" w:hAnsi="Times New Roman Regular" w:cs="Times New Roman Regular"/>
          <w:color w:val="auto"/>
        </w:rPr>
        <w:t>7.3 Cơ quan phối hợp ban hành</w:t>
      </w:r>
    </w:p>
    <w:tbl>
      <w:tblPr>
        <w:tblStyle w:val="42"/>
        <w:tblW w:w="5000" w:type="pct"/>
        <w:tblInd w:w="0" w:type="dxa"/>
        <w:tblLayout w:type="fixed"/>
        <w:tblCellMar>
          <w:top w:w="0" w:type="dxa"/>
          <w:left w:w="108" w:type="dxa"/>
          <w:bottom w:w="0" w:type="dxa"/>
          <w:right w:w="108" w:type="dxa"/>
        </w:tblCellMar>
      </w:tblPr>
      <w:tblGrid>
        <w:gridCol w:w="3007"/>
        <w:gridCol w:w="5849"/>
      </w:tblGrid>
      <w:tr w14:paraId="2551BBA1">
        <w:trPr>
          <w:tblHeader/>
        </w:trPr>
        <w:tc>
          <w:tcPr>
            <w:tcW w:w="1697" w:type="pct"/>
          </w:tcPr>
          <w:p w14:paraId="65B5A777">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Cơ quan</w:t>
            </w:r>
          </w:p>
        </w:tc>
        <w:tc>
          <w:tcPr>
            <w:tcW w:w="3302" w:type="pct"/>
          </w:tcPr>
          <w:p w14:paraId="1406D505">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Trách nhiệm phối hợp</w:t>
            </w:r>
          </w:p>
        </w:tc>
      </w:tr>
      <w:tr w14:paraId="25BA159A">
        <w:tc>
          <w:tcPr>
            <w:tcW w:w="1697" w:type="pct"/>
          </w:tcPr>
          <w:p w14:paraId="2BA371F5">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Bộ Công Thương (CQL&amp;PTTTTN)</w:t>
            </w:r>
          </w:p>
        </w:tc>
        <w:tc>
          <w:tcPr>
            <w:tcW w:w="3302" w:type="pct"/>
          </w:tcPr>
          <w:p w14:paraId="2F45692C">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Chủ trì toàn bộ khung pháp lý TXNG thuộc BCT</w:t>
            </w:r>
          </w:p>
        </w:tc>
      </w:tr>
      <w:tr w14:paraId="7ECDCE4A">
        <w:tc>
          <w:tcPr>
            <w:tcW w:w="1697" w:type="pct"/>
          </w:tcPr>
          <w:p w14:paraId="0DF50FE0">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Bộ Công an (C12)</w:t>
            </w:r>
          </w:p>
        </w:tc>
        <w:tc>
          <w:tcPr>
            <w:tcW w:w="3302" w:type="pct"/>
          </w:tcPr>
          <w:p w14:paraId="6A8E93A8">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Quy định về UID/DID, kết nối AgentNode/NDOP, Blockchain QG</w:t>
            </w:r>
          </w:p>
        </w:tc>
      </w:tr>
      <w:tr w14:paraId="5080EAF8">
        <w:tc>
          <w:tcPr>
            <w:tcW w:w="1697" w:type="pct"/>
          </w:tcPr>
          <w:p w14:paraId="7D7B8C66">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Bộ Tư pháp</w:t>
            </w:r>
          </w:p>
        </w:tc>
        <w:tc>
          <w:tcPr>
            <w:tcW w:w="3302" w:type="pct"/>
          </w:tcPr>
          <w:p w14:paraId="5EF320DF">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Kiểm tra văn bản quy phạm pháp luật</w:t>
            </w:r>
          </w:p>
        </w:tc>
      </w:tr>
      <w:tr w14:paraId="45AA0059">
        <w:tc>
          <w:tcPr>
            <w:tcW w:w="1697" w:type="pct"/>
          </w:tcPr>
          <w:p w14:paraId="1B707BE3">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Bộ TT&amp;TT</w:t>
            </w:r>
          </w:p>
        </w:tc>
        <w:tc>
          <w:tcPr>
            <w:tcW w:w="3302" w:type="pct"/>
          </w:tcPr>
          <w:p w14:paraId="580DAD55">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Tiêu chuẩn kỹ thuật, an toàn thông tin, hạ tầng số</w:t>
            </w:r>
          </w:p>
        </w:tc>
      </w:tr>
      <w:tr w14:paraId="11AC8D6A">
        <w:tc>
          <w:tcPr>
            <w:tcW w:w="1697" w:type="pct"/>
          </w:tcPr>
          <w:p w14:paraId="73C654DA">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UBND tỉnh/thành phố</w:t>
            </w:r>
          </w:p>
        </w:tc>
        <w:tc>
          <w:tcPr>
            <w:tcW w:w="3302" w:type="pct"/>
          </w:tcPr>
          <w:p w14:paraId="024B1495">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Tổ chức triển khai tại địa phương, xử lý vi phạm</w:t>
            </w:r>
          </w:p>
        </w:tc>
      </w:tr>
      <w:tr w14:paraId="00562716">
        <w:tc>
          <w:tcPr>
            <w:tcW w:w="1697" w:type="pct"/>
          </w:tcPr>
          <w:p w14:paraId="30A56843">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Sở Công Thương</w:t>
            </w:r>
          </w:p>
        </w:tc>
        <w:tc>
          <w:tcPr>
            <w:tcW w:w="3302" w:type="pct"/>
          </w:tcPr>
          <w:p w14:paraId="77C79B78">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Hướng dẫn, tuyên truyền, phổ biến cho DN địa phương</w:t>
            </w:r>
          </w:p>
        </w:tc>
      </w:tr>
    </w:tbl>
    <w:p w14:paraId="6377D5B2">
      <w:p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pict>
          <v:rect id="_x0000_i1032" o:spt="1" style="height:1.5pt;width:0pt;" coordsize="21600,21600" o:hr="t" o:hrstd="t" o:hralign="center">
            <v:path/>
            <v:fill focussize="0,0"/>
            <v:stroke/>
            <v:imagedata o:title=""/>
            <o:lock v:ext="edit"/>
            <w10:wrap type="none"/>
            <w10:anchorlock/>
          </v:rect>
        </w:pict>
      </w:r>
    </w:p>
    <w:bookmarkEnd w:id="23"/>
    <w:bookmarkEnd w:id="31"/>
    <w:p w14:paraId="08EB500E">
      <w:pPr>
        <w:pStyle w:val="4"/>
        <w:jc w:val="both"/>
        <w:rPr>
          <w:rFonts w:hint="default" w:ascii="Times New Roman Regular" w:hAnsi="Times New Roman Regular" w:cs="Times New Roman Regular"/>
          <w:color w:val="auto"/>
        </w:rPr>
        <w:sectPr>
          <w:footnotePr>
            <w:numRestart w:val="eachSect"/>
          </w:footnotePr>
          <w:cols w:space="720" w:num="1"/>
        </w:sectPr>
      </w:pPr>
      <w:bookmarkStart w:id="32" w:name="Xc3c4a15c34e1e1e6caa573713cc5fc47c0e9536"/>
    </w:p>
    <w:p w14:paraId="7ACD8963">
      <w:pPr>
        <w:pStyle w:val="4"/>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8. MÔ H</w:t>
      </w:r>
      <w:bookmarkStart w:id="35" w:name="_GoBack"/>
      <w:bookmarkEnd w:id="35"/>
      <w:r>
        <w:rPr>
          <w:rFonts w:hint="default" w:ascii="Times New Roman Regular" w:hAnsi="Times New Roman Regular" w:cs="Times New Roman Regular"/>
          <w:color w:val="auto"/>
        </w:rPr>
        <w:t>ÌNH TỔNG THỂ CÁC BÊN THAM GIA</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176"/>
      </w:tblGrid>
      <w:tr w14:paraId="66DAEA89">
        <w:tc>
          <w:tcPr>
            <w:tcW w:w="5000" w:type="pct"/>
          </w:tcPr>
          <w:p w14:paraId="33515718">
            <w:pPr>
              <w:pStyle w:val="50"/>
              <w:jc w:val="both"/>
              <w:rPr>
                <w:rFonts w:hint="default" w:ascii="Times New Roman Regular" w:hAnsi="Times New Roman Regular" w:cs="Times New Roman Regular"/>
                <w:color w:val="auto"/>
                <w:vertAlign w:val="baseline"/>
                <w:lang w:val="vi-VN"/>
              </w:rPr>
            </w:pPr>
            <w:r>
              <w:rPr>
                <w:rFonts w:hint="default" w:ascii="Times New Roman Regular" w:hAnsi="Times New Roman Regular" w:cs="Times New Roman Regular"/>
                <w:color w:val="auto"/>
                <w:vertAlign w:val="baseline"/>
                <w:lang w:val="vi-VN"/>
              </w:rPr>
              <w:drawing>
                <wp:inline distT="0" distB="0" distL="114300" distR="114300">
                  <wp:extent cx="7947025" cy="5480685"/>
                  <wp:effectExtent l="0" t="0" r="3175" b="5715"/>
                  <wp:docPr id="1" name="Picture 1" descr="Ảnh màn hình 2026-06-30 lúc 10.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màn hình 2026-06-30 lúc 10.37.49"/>
                          <pic:cNvPicPr>
                            <a:picLocks noChangeAspect="1"/>
                          </pic:cNvPicPr>
                        </pic:nvPicPr>
                        <pic:blipFill>
                          <a:blip r:embed="rId5"/>
                          <a:stretch>
                            <a:fillRect/>
                          </a:stretch>
                        </pic:blipFill>
                        <pic:spPr>
                          <a:xfrm>
                            <a:off x="0" y="0"/>
                            <a:ext cx="7947025" cy="5480685"/>
                          </a:xfrm>
                          <a:prstGeom prst="rect">
                            <a:avLst/>
                          </a:prstGeom>
                        </pic:spPr>
                      </pic:pic>
                    </a:graphicData>
                  </a:graphic>
                </wp:inline>
              </w:drawing>
            </w:r>
          </w:p>
        </w:tc>
      </w:tr>
    </w:tbl>
    <w:p w14:paraId="11FBD11E">
      <w:pPr>
        <w:pStyle w:val="50"/>
        <w:jc w:val="both"/>
        <w:rPr>
          <w:rFonts w:hint="default" w:ascii="Times New Roman Regular" w:hAnsi="Times New Roman Regular" w:cs="Times New Roman Regular"/>
          <w:color w:val="auto"/>
        </w:rPr>
      </w:pPr>
    </w:p>
    <w:p w14:paraId="414D5C91">
      <w:pPr>
        <w:jc w:val="both"/>
        <w:rPr>
          <w:rFonts w:hint="default" w:ascii="Times New Roman Regular" w:hAnsi="Times New Roman Regular" w:cs="Times New Roman Regular"/>
          <w:color w:val="auto"/>
        </w:rPr>
      </w:pPr>
    </w:p>
    <w:bookmarkEnd w:id="32"/>
    <w:p w14:paraId="14CD0867">
      <w:pPr>
        <w:pStyle w:val="4"/>
        <w:jc w:val="both"/>
        <w:rPr>
          <w:rFonts w:hint="default" w:ascii="Times New Roman Regular" w:hAnsi="Times New Roman Regular" w:cs="Times New Roman Regular"/>
          <w:color w:val="auto"/>
        </w:rPr>
        <w:sectPr>
          <w:footnotePr>
            <w:numRestart w:val="eachSect"/>
          </w:footnotePr>
          <w:pgSz w:w="15840" w:h="12240" w:orient="landscape"/>
          <w:pgMar w:top="1800" w:right="1440" w:bottom="1800" w:left="1440" w:header="720" w:footer="720" w:gutter="0"/>
          <w:cols w:space="720" w:num="1"/>
        </w:sectPr>
      </w:pPr>
      <w:bookmarkStart w:id="33" w:name="các-chỉ-tiêu-vận-hành-sau-go-live"/>
    </w:p>
    <w:p w14:paraId="25EB870D">
      <w:pPr>
        <w:pStyle w:val="4"/>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9. CÁC CHỈ TIÊU VẬN HÀNH SAU GO-LIVE</w:t>
      </w:r>
    </w:p>
    <w:p w14:paraId="366EDDD8">
      <w:pPr>
        <w:pStyle w:val="3"/>
        <w:rPr>
          <w:rFonts w:hint="default"/>
          <w:lang w:val="vi-VN"/>
        </w:rPr>
      </w:pPr>
      <w:r>
        <w:rPr>
          <w:rFonts w:hint="default" w:ascii="Times New Roman Regular" w:hAnsi="Times New Roman Regular" w:cs="Times New Roman Regular"/>
          <w:lang w:val="vi-VN"/>
        </w:rPr>
        <w:t>Những chỉ số này là thông dụng thôi anh ạ</w:t>
      </w:r>
      <w:r>
        <w:rPr>
          <w:rFonts w:hint="default" w:ascii="Times New Roman" w:hAnsi="Times New Roman Regular" w:cs="Times New Roman Regular"/>
          <w:lang w:val="vi-VN"/>
        </w:rPr>
        <w:t>.</w:t>
      </w:r>
    </w:p>
    <w:tbl>
      <w:tblPr>
        <w:tblStyle w:val="42"/>
        <w:tblW w:w="0" w:type="auto"/>
        <w:tblInd w:w="0" w:type="dxa"/>
        <w:tblLayout w:type="autofit"/>
        <w:tblCellMar>
          <w:top w:w="0" w:type="dxa"/>
          <w:left w:w="108" w:type="dxa"/>
          <w:bottom w:w="0" w:type="dxa"/>
          <w:right w:w="108" w:type="dxa"/>
        </w:tblCellMar>
      </w:tblPr>
      <w:tblGrid>
        <w:gridCol w:w="3466"/>
        <w:gridCol w:w="5002"/>
      </w:tblGrid>
      <w:tr w14:paraId="36A96C50">
        <w:trPr>
          <w:tblHeader/>
        </w:trPr>
        <w:tc>
          <w:p w14:paraId="6ED8AD4E">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Chỉ tiêu</w:t>
            </w:r>
          </w:p>
        </w:tc>
        <w:tc>
          <w:p w14:paraId="3F287E1E">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Mục tiêu</w:t>
            </w:r>
          </w:p>
        </w:tc>
      </w:tr>
      <w:tr w14:paraId="6691609D">
        <w:tc>
          <w:p w14:paraId="51E621C2">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Uptime hệ thống</w:t>
            </w:r>
          </w:p>
        </w:tc>
        <w:tc>
          <w:p w14:paraId="3C1D789C">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99,9%</w:t>
            </w:r>
          </w:p>
        </w:tc>
      </w:tr>
      <w:tr w14:paraId="7149C648">
        <w:tc>
          <w:p w14:paraId="53D42E69">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Thời gian scan QR → kết quả</w:t>
            </w:r>
          </w:p>
        </w:tc>
        <w:tc>
          <w:p w14:paraId="1618A276">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&lt; 2 giây</w:t>
            </w:r>
          </w:p>
        </w:tc>
      </w:tr>
      <w:tr w14:paraId="62A12760">
        <w:tc>
          <w:p w14:paraId="6909777F">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Cung cấp dữ liệu cho cơ quan QL</w:t>
            </w:r>
          </w:p>
        </w:tc>
        <w:tc>
          <w:p w14:paraId="67711395">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24 giờ (đơn giản)</w:t>
            </w:r>
          </w:p>
        </w:tc>
      </w:tr>
      <w:tr w14:paraId="45C3F62F">
        <w:tc>
          <w:p w14:paraId="415FF24B">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Chi phí vận hành</w:t>
            </w:r>
          </w:p>
        </w:tc>
        <w:tc>
          <w:p w14:paraId="4C2E134B">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Trích từ nguồn chi thường xuyên của Cục</w:t>
            </w:r>
          </w:p>
        </w:tc>
      </w:tr>
      <w:tr w14:paraId="65746002">
        <w:tc>
          <w:p w14:paraId="4E44BDE4">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Hoạt động vận hành</w:t>
            </w:r>
          </w:p>
        </w:tc>
        <w:tc>
          <w:p w14:paraId="5ED64574">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Thuê dịch vụ vận hành chuyên nghiệp sau go-live</w:t>
            </w:r>
          </w:p>
        </w:tc>
      </w:tr>
      <w:tr w14:paraId="7F8DA247">
        <w:tc>
          <w:p w14:paraId="4F6D3D75">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RTO / RPO</w:t>
            </w:r>
          </w:p>
        </w:tc>
        <w:tc>
          <w:p w14:paraId="6B397E48">
            <w:pPr>
              <w:pStyle w:val="25"/>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1 giờ / ≤ 15 phút</w:t>
            </w:r>
          </w:p>
        </w:tc>
      </w:tr>
    </w:tbl>
    <w:p w14:paraId="370792E0">
      <w:p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pict>
          <v:rect id="_x0000_i1034" o:spt="1" style="height:1.5pt;width:0pt;" coordsize="21600,21600" o:hr="t" o:hrstd="t" o:hralign="center">
            <v:path/>
            <v:fill focussize="0,0"/>
            <v:stroke/>
            <v:imagedata o:title=""/>
            <o:lock v:ext="edit"/>
            <w10:wrap type="none"/>
            <w10:anchorlock/>
          </v:rect>
        </w:pict>
      </w:r>
    </w:p>
    <w:bookmarkEnd w:id="33"/>
    <w:p w14:paraId="2B2F83B4">
      <w:pPr>
        <w:pStyle w:val="24"/>
        <w:jc w:val="both"/>
        <w:rPr>
          <w:rFonts w:hint="default" w:ascii="Times New Roman Regular" w:hAnsi="Times New Roman Regular" w:cs="Times New Roman Regular"/>
          <w:color w:val="auto"/>
        </w:rPr>
      </w:pPr>
      <w:bookmarkStart w:id="34" w:name="X0006a0bdd68d92c35e4df895c0055b383a2a60a"/>
    </w:p>
    <w:bookmarkEnd w:id="0"/>
    <w:bookmarkEnd w:id="3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FE5293"/>
    <w:multiLevelType w:val="singleLevel"/>
    <w:tmpl w:val="F5FE5293"/>
    <w:lvl w:ilvl="0" w:tentative="0">
      <w:start w:val="1"/>
      <w:numFmt w:val="decimal"/>
      <w:suff w:val="space"/>
      <w:lvlText w:val="%1."/>
      <w:lvlJc w:val="left"/>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598B0DBD"/>
    <w:rsid w:val="5B5F4F2A"/>
    <w:rsid w:val="75C4B595"/>
    <w:rsid w:val="79D62C63"/>
    <w:rsid w:val="7CBF204C"/>
    <w:rsid w:val="7DDA76CA"/>
    <w:rsid w:val="BFFF7142"/>
    <w:rsid w:val="EBFD90AA"/>
    <w:rsid w:val="FBF90C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7"/>
    <w:qFormat/>
    <w:uiPriority w:val="11"/>
    <w:rPr>
      <w:rFonts w:eastAsiaTheme="majorEastAsia" w:cstheme="majorBidi"/>
      <w:spacing w:val="15"/>
      <w:sz w:val="28"/>
      <w:szCs w:val="28"/>
    </w:rPr>
  </w:style>
  <w:style w:type="table" w:styleId="23">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2"/>
    <w:link w:val="17"/>
    <w:uiPriority w:val="10"/>
    <w:rPr>
      <w:rFonts w:asciiTheme="majorHAnsi" w:hAnsiTheme="majorHAnsi" w:eastAsiaTheme="majorEastAsia" w:cstheme="majorBidi"/>
      <w:sz w:val="56"/>
      <w:szCs w:val="56"/>
    </w:rPr>
  </w:style>
  <w:style w:type="character" w:customStyle="1" w:styleId="27">
    <w:name w:val="Subtitle Char"/>
    <w:basedOn w:val="12"/>
    <w:link w:val="22"/>
    <w:uiPriority w:val="11"/>
    <w:rPr>
      <w:rFonts w:eastAsiaTheme="majorEastAsia" w:cstheme="majorBidi"/>
      <w:color w:val="585858" w:themeColor="text1" w:themeTint="A6"/>
      <w:spacing w:val="15"/>
      <w:sz w:val="28"/>
      <w:szCs w:val="28"/>
    </w:rPr>
  </w:style>
  <w:style w:type="paragraph" w:customStyle="1" w:styleId="28">
    <w:name w:val="Author"/>
    <w:basedOn w:val="17"/>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12"/>
    <w:link w:val="5"/>
    <w:semiHidden/>
    <w:uiPriority w:val="9"/>
    <w:rPr>
      <w:rFonts w:eastAsiaTheme="majorEastAsia" w:cstheme="majorBidi"/>
      <w:color w:val="0F4761" w:themeColor="accent1" w:themeShade="BF"/>
      <w:sz w:val="28"/>
      <w:szCs w:val="28"/>
    </w:rPr>
  </w:style>
  <w:style w:type="character" w:customStyle="1" w:styleId="35">
    <w:name w:val="Heading 4 Char"/>
    <w:basedOn w:val="12"/>
    <w:link w:val="6"/>
    <w:semiHidden/>
    <w:uiPriority w:val="9"/>
    <w:rPr>
      <w:rFonts w:eastAsiaTheme="majorEastAsia" w:cstheme="majorBidi"/>
      <w:i/>
      <w:iCs/>
      <w:color w:val="0F4761" w:themeColor="accent1" w:themeShade="BF"/>
    </w:rPr>
  </w:style>
  <w:style w:type="character" w:customStyle="1" w:styleId="36">
    <w:name w:val="Heading 5 Char"/>
    <w:basedOn w:val="12"/>
    <w:link w:val="7"/>
    <w:semiHidden/>
    <w:uiPriority w:val="9"/>
    <w:rPr>
      <w:rFonts w:eastAsiaTheme="majorEastAsia" w:cstheme="majorBidi"/>
      <w:color w:val="0F4761" w:themeColor="accent1" w:themeShade="BF"/>
    </w:rPr>
  </w:style>
  <w:style w:type="character" w:customStyle="1" w:styleId="37">
    <w:name w:val="Heading 6 Char"/>
    <w:basedOn w:val="12"/>
    <w:link w:val="8"/>
    <w:semiHidden/>
    <w:uiPriority w:val="9"/>
    <w:rPr>
      <w:rFonts w:eastAsiaTheme="majorEastAsia" w:cstheme="majorBidi"/>
      <w:i/>
      <w:iCs/>
      <w:color w:val="585858" w:themeColor="text1" w:themeTint="A6"/>
    </w:rPr>
  </w:style>
  <w:style w:type="character" w:customStyle="1" w:styleId="38">
    <w:name w:val="Heading 7 Char"/>
    <w:basedOn w:val="12"/>
    <w:link w:val="9"/>
    <w:semiHidden/>
    <w:uiPriority w:val="9"/>
    <w:rPr>
      <w:rFonts w:eastAsiaTheme="majorEastAsia" w:cstheme="majorBidi"/>
      <w:color w:val="585858" w:themeColor="text1" w:themeTint="A6"/>
    </w:rPr>
  </w:style>
  <w:style w:type="character" w:customStyle="1" w:styleId="39">
    <w:name w:val="Heading 8 Char"/>
    <w:basedOn w:val="12"/>
    <w:link w:val="10"/>
    <w:semiHidden/>
    <w:uiPriority w:val="9"/>
    <w:rPr>
      <w:rFonts w:eastAsiaTheme="majorEastAsia" w:cstheme="majorBidi"/>
      <w:i/>
      <w:iCs/>
      <w:color w:val="262626" w:themeColor="text1" w:themeTint="D8"/>
    </w:rPr>
  </w:style>
  <w:style w:type="character" w:customStyle="1" w:styleId="40">
    <w:name w:val="Heading 9 Char"/>
    <w:basedOn w:val="12"/>
    <w:link w:val="11"/>
    <w:semiHidden/>
    <w:uiPriority w:val="9"/>
    <w:rPr>
      <w:rFonts w:eastAsiaTheme="majorEastAsia" w:cstheme="majorBidi"/>
      <w:color w:val="262626" w:themeColor="text1" w:themeTint="D8"/>
    </w:rPr>
  </w:style>
  <w:style w:type="paragraph" w:customStyle="1" w:styleId="41">
    <w:name w:val="Footnote Block Text"/>
    <w:basedOn w:val="20"/>
    <w:next w:val="20"/>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5"/>
    <w:uiPriority w:val="0"/>
    <w:pPr>
      <w:keepNext/>
    </w:pPr>
  </w:style>
  <w:style w:type="paragraph" w:customStyle="1" w:styleId="46">
    <w:name w:val="Image Caption"/>
    <w:basedOn w:val="15"/>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19"/>
    <w:link w:val="50"/>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19"/>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uiPriority w:val="0"/>
    <w:rPr>
      <w:b/>
      <w:color w:val="007020"/>
    </w:rPr>
  </w:style>
  <w:style w:type="character" w:customStyle="1" w:styleId="54">
    <w:name w:val="DataTypeTok"/>
    <w:basedOn w:val="49"/>
    <w:uiPriority w:val="0"/>
    <w:rPr>
      <w:color w:val="902000"/>
    </w:rPr>
  </w:style>
  <w:style w:type="character" w:customStyle="1" w:styleId="55">
    <w:name w:val="DecValTok"/>
    <w:basedOn w:val="49"/>
    <w:uiPriority w:val="0"/>
    <w:rPr>
      <w:color w:val="40A070"/>
    </w:rPr>
  </w:style>
  <w:style w:type="character" w:customStyle="1" w:styleId="56">
    <w:name w:val="BaseNTok"/>
    <w:basedOn w:val="49"/>
    <w:uiPriority w:val="0"/>
    <w:rPr>
      <w:color w:val="40A070"/>
    </w:rPr>
  </w:style>
  <w:style w:type="character" w:customStyle="1" w:styleId="57">
    <w:name w:val="FloatTok"/>
    <w:basedOn w:val="49"/>
    <w:uiPriority w:val="0"/>
    <w:rPr>
      <w:color w:val="40A070"/>
    </w:rPr>
  </w:style>
  <w:style w:type="character" w:customStyle="1" w:styleId="58">
    <w:name w:val="ConstantTok"/>
    <w:basedOn w:val="49"/>
    <w:uiPriority w:val="0"/>
    <w:rPr>
      <w:color w:val="880000"/>
    </w:rPr>
  </w:style>
  <w:style w:type="character" w:customStyle="1" w:styleId="59">
    <w:name w:val="CharTok"/>
    <w:basedOn w:val="49"/>
    <w:uiPriority w:val="0"/>
    <w:rPr>
      <w:color w:val="4070A0"/>
    </w:rPr>
  </w:style>
  <w:style w:type="character" w:customStyle="1" w:styleId="60">
    <w:name w:val="SpecialCharTok"/>
    <w:basedOn w:val="49"/>
    <w:uiPriority w:val="0"/>
    <w:rPr>
      <w:color w:val="4070A0"/>
    </w:rPr>
  </w:style>
  <w:style w:type="character" w:customStyle="1" w:styleId="61">
    <w:name w:val="StringTok"/>
    <w:basedOn w:val="49"/>
    <w:uiPriority w:val="0"/>
    <w:rPr>
      <w:color w:val="4070A0"/>
    </w:rPr>
  </w:style>
  <w:style w:type="character" w:customStyle="1" w:styleId="62">
    <w:name w:val="VerbatimStringTok"/>
    <w:basedOn w:val="49"/>
    <w:uiPriority w:val="0"/>
    <w:rPr>
      <w:color w:val="4070A0"/>
    </w:rPr>
  </w:style>
  <w:style w:type="character" w:customStyle="1" w:styleId="63">
    <w:name w:val="SpecialStringTok"/>
    <w:basedOn w:val="49"/>
    <w:uiPriority w:val="0"/>
    <w:rPr>
      <w:color w:val="BB6688"/>
    </w:rPr>
  </w:style>
  <w:style w:type="character" w:customStyle="1" w:styleId="64">
    <w:name w:val="ImportTok"/>
    <w:basedOn w:val="49"/>
    <w:uiPriority w:val="0"/>
    <w:rPr>
      <w:b/>
      <w:color w:val="008000"/>
    </w:rPr>
  </w:style>
  <w:style w:type="character" w:customStyle="1" w:styleId="65">
    <w:name w:val="CommentTok"/>
    <w:basedOn w:val="49"/>
    <w:uiPriority w:val="0"/>
    <w:rPr>
      <w:i/>
      <w:color w:val="60A0B0"/>
    </w:rPr>
  </w:style>
  <w:style w:type="character" w:customStyle="1" w:styleId="66">
    <w:name w:val="DocumentationTok"/>
    <w:basedOn w:val="49"/>
    <w:uiPriority w:val="0"/>
    <w:rPr>
      <w:i/>
      <w:color w:val="BA2121"/>
    </w:rPr>
  </w:style>
  <w:style w:type="character" w:customStyle="1" w:styleId="67">
    <w:name w:val="AnnotationTok"/>
    <w:basedOn w:val="49"/>
    <w:uiPriority w:val="0"/>
    <w:rPr>
      <w:b/>
      <w:i/>
      <w:color w:val="60A0B0"/>
    </w:rPr>
  </w:style>
  <w:style w:type="character" w:customStyle="1" w:styleId="68">
    <w:name w:val="CommentVarTok"/>
    <w:basedOn w:val="49"/>
    <w:uiPriority w:val="0"/>
    <w:rPr>
      <w:b/>
      <w:i/>
      <w:color w:val="60A0B0"/>
    </w:rPr>
  </w:style>
  <w:style w:type="character" w:customStyle="1" w:styleId="69">
    <w:name w:val="OtherTok"/>
    <w:basedOn w:val="49"/>
    <w:uiPriority w:val="0"/>
    <w:rPr>
      <w:color w:val="007020"/>
    </w:rPr>
  </w:style>
  <w:style w:type="character" w:customStyle="1" w:styleId="70">
    <w:name w:val="FunctionTok"/>
    <w:basedOn w:val="49"/>
    <w:uiPriority w:val="0"/>
    <w:rPr>
      <w:color w:val="06287E"/>
    </w:rPr>
  </w:style>
  <w:style w:type="character" w:customStyle="1" w:styleId="71">
    <w:name w:val="VariableTok"/>
    <w:basedOn w:val="49"/>
    <w:uiPriority w:val="0"/>
    <w:rPr>
      <w:color w:val="19177C"/>
    </w:rPr>
  </w:style>
  <w:style w:type="character" w:customStyle="1" w:styleId="72">
    <w:name w:val="ControlFlowTok"/>
    <w:basedOn w:val="49"/>
    <w:uiPriority w:val="0"/>
    <w:rPr>
      <w:b/>
      <w:color w:val="007020"/>
    </w:rPr>
  </w:style>
  <w:style w:type="character" w:customStyle="1" w:styleId="73">
    <w:name w:val="OperatorTok"/>
    <w:basedOn w:val="49"/>
    <w:uiPriority w:val="0"/>
    <w:rPr>
      <w:color w:val="666666"/>
    </w:rPr>
  </w:style>
  <w:style w:type="character" w:customStyle="1" w:styleId="74">
    <w:name w:val="BuiltInTok"/>
    <w:basedOn w:val="49"/>
    <w:uiPriority w:val="0"/>
    <w:rPr>
      <w:color w:val="008000"/>
    </w:rPr>
  </w:style>
  <w:style w:type="character" w:customStyle="1" w:styleId="75">
    <w:name w:val="ExtensionTok"/>
    <w:basedOn w:val="49"/>
    <w:uiPriority w:val="0"/>
  </w:style>
  <w:style w:type="character" w:customStyle="1" w:styleId="76">
    <w:name w:val="PreprocessorTok"/>
    <w:basedOn w:val="49"/>
    <w:uiPriority w:val="0"/>
    <w:rPr>
      <w:color w:val="BC7A00"/>
    </w:rPr>
  </w:style>
  <w:style w:type="character" w:customStyle="1" w:styleId="77">
    <w:name w:val="AttributeTok"/>
    <w:basedOn w:val="49"/>
    <w:uiPriority w:val="0"/>
    <w:rPr>
      <w:color w:val="7D9029"/>
    </w:rPr>
  </w:style>
  <w:style w:type="character" w:customStyle="1" w:styleId="78">
    <w:name w:val="RegionMarkerTok"/>
    <w:basedOn w:val="49"/>
    <w:uiPriority w:val="0"/>
  </w:style>
  <w:style w:type="character" w:customStyle="1" w:styleId="79">
    <w:name w:val="InformationTok"/>
    <w:basedOn w:val="49"/>
    <w:uiPriority w:val="0"/>
    <w:rPr>
      <w:b/>
      <w:i/>
      <w:color w:val="60A0B0"/>
    </w:rPr>
  </w:style>
  <w:style w:type="character" w:customStyle="1" w:styleId="80">
    <w:name w:val="WarningTok"/>
    <w:basedOn w:val="49"/>
    <w:uiPriority w:val="0"/>
    <w:rPr>
      <w:b/>
      <w:i/>
      <w:color w:val="60A0B0"/>
    </w:rPr>
  </w:style>
  <w:style w:type="character" w:customStyle="1" w:styleId="81">
    <w:name w:val="AlertTok"/>
    <w:basedOn w:val="49"/>
    <w:uiPriority w:val="0"/>
    <w:rPr>
      <w:b/>
      <w:color w:val="FF0000"/>
    </w:rPr>
  </w:style>
  <w:style w:type="character" w:customStyle="1" w:styleId="82">
    <w:name w:val="ErrorTok"/>
    <w:basedOn w:val="49"/>
    <w:uiPriority w:val="0"/>
    <w:rPr>
      <w:b/>
      <w:color w:val="FF0000"/>
    </w:rPr>
  </w:style>
  <w:style w:type="character" w:customStyle="1" w:styleId="83">
    <w:name w:val="NormalTok"/>
    <w:basedOn w:val="49"/>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83</Words>
  <Characters>475</Characters>
  <Lines>12</Lines>
  <Paragraphs>8</Paragraphs>
  <TotalTime>51</TotalTime>
  <ScaleCrop>false</ScaleCrop>
  <LinksUpToDate>false</LinksUpToDate>
  <CharactersWithSpaces>583</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2026-06-30T10:30:00Z</dcterms:created>
  <dc:creator>beeng</dc:creator>
  <cp:lastModifiedBy>beeng</cp:lastModifiedBy>
  <dcterms:modified xsi:type="dcterms:W3CDTF">2026-06-30T10:40:12Z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CADE9A7790EC9170E12B436ABE39CB8C_42</vt:lpwstr>
  </property>
</Properties>
</file>