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30" w:before="0"/>
        <w:jc w:val="center"/>
      </w:pPr>
      <w:r>
        <w:rPr>
          <w:rFonts w:ascii="Arial" w:cs="Arial" w:eastAsia="Arial" w:hAnsi="Arial"/>
          <w:b/>
          <w:bCs/>
          <w:color w:val="1F4E79"/>
          <w:sz w:val="26"/>
          <w:szCs w:val="26"/>
        </w:rPr>
        <w:t xml:space="preserve">TÓM TẮT KINH NGHIỆM QUỐC TẾ VÀ ĐỀ XUẤT GIẢI PHÁP TXNG CHO BỘ CÔNG THƯƠNG</w:t>
      </w:r>
    </w:p>
    <w:p>
      <w:pPr>
        <w:spacing w:after="130" w:before="0"/>
        <w:jc w:val="center"/>
      </w:pPr>
      <w:r>
        <w:rPr>
          <w:color w:val="2E75B6"/>
          <w:sz w:val="14"/>
          <w:szCs w:val="14"/>
        </w:rPr>
        <w:t xml:space="preserve">─────────────────────────────────────────────────────────────────────────────────────────────</w:t>
      </w:r>
    </w:p>
    <w:p>
      <w:pPr>
        <w:keepNext/>
        <w:spacing w:after="60" w:before="160"/>
      </w:pPr>
      <w:r>
        <w:rPr>
          <w:rFonts w:ascii="Arial" w:cs="Arial" w:eastAsia="Arial" w:hAnsi="Arial"/>
          <w:b/>
          <w:bCs/>
          <w:color w:val="2F5597"/>
          <w:sz w:val="22"/>
          <w:szCs w:val="22"/>
        </w:rPr>
        <w:t xml:space="preserve">1. Bảng tổng hợp mô hình TXNG quốc tế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1900"/>
        <w:gridCol w:w="1850"/>
        <w:gridCol w:w="2108"/>
        <w:gridCol w:w="2500"/>
      </w:tblGrid>
      <w:tr>
        <w:tc>
          <w:tcPr>
            <w:tcW w:type="dxa" w:w="1280"/>
            <w:tcBorders>
              <w:top w:val="single" w:color="BFBFBF" w:sz="1"/>
              <w:left w:val="single" w:color="BFBFBF" w:sz="1"/>
              <w:bottom w:val="single" w:color="BFBFBF" w:sz="1"/>
              <w:right w:val="single" w:color="BFBFBF" w:sz="1"/>
            </w:tcBorders>
            <w:shd w:fill="1F4E79" w:val="clear"/>
            <w:tcMar>
              <w:top w:type="dxa" w:w="76"/>
              <w:left w:type="dxa" w:w="110"/>
              <w:bottom w:type="dxa" w:w="76"/>
              <w:right w:type="dxa" w:w="110"/>
            </w:tcMar>
            <w:vAlign w:val="center"/>
          </w:tcPr>
          <w:p>
            <w:pPr>
              <w:spacing w:line="252" w:lineRule="auto"/>
              <w:jc w:val="center"/>
            </w:pPr>
            <w:r>
              <w:rPr>
                <w:rFonts w:ascii="Arial" w:cs="Arial" w:eastAsia="Arial" w:hAnsi="Arial"/>
                <w:b/>
                <w:bCs/>
                <w:color w:val="FFFFFF"/>
                <w:sz w:val="20"/>
                <w:szCs w:val="20"/>
              </w:rPr>
              <w:t xml:space="preserve">Quốc gia</w:t>
            </w:r>
          </w:p>
        </w:tc>
        <w:tc>
          <w:tcPr>
            <w:tcW w:type="dxa" w:w="1900"/>
            <w:tcBorders>
              <w:top w:val="single" w:color="BFBFBF" w:sz="1"/>
              <w:left w:val="single" w:color="BFBFBF" w:sz="1"/>
              <w:bottom w:val="single" w:color="BFBFBF" w:sz="1"/>
              <w:right w:val="single" w:color="BFBFBF" w:sz="1"/>
            </w:tcBorders>
            <w:shd w:fill="1F4E79" w:val="clear"/>
            <w:tcMar>
              <w:top w:type="dxa" w:w="76"/>
              <w:left w:type="dxa" w:w="110"/>
              <w:bottom w:type="dxa" w:w="76"/>
              <w:right w:type="dxa" w:w="110"/>
            </w:tcMar>
            <w:vAlign w:val="center"/>
          </w:tcPr>
          <w:p>
            <w:pPr>
              <w:spacing w:line="252" w:lineRule="auto"/>
              <w:jc w:val="center"/>
            </w:pPr>
            <w:r>
              <w:rPr>
                <w:rFonts w:ascii="Arial" w:cs="Arial" w:eastAsia="Arial" w:hAnsi="Arial"/>
                <w:b/>
                <w:bCs/>
                <w:color w:val="FFFFFF"/>
                <w:sz w:val="20"/>
                <w:szCs w:val="20"/>
              </w:rPr>
              <w:t xml:space="preserve">Lộ trình triển khai</w:t>
            </w:r>
          </w:p>
        </w:tc>
        <w:tc>
          <w:tcPr>
            <w:tcW w:type="dxa" w:w="1850"/>
            <w:tcBorders>
              <w:top w:val="single" w:color="BFBFBF" w:sz="1"/>
              <w:left w:val="single" w:color="BFBFBF" w:sz="1"/>
              <w:bottom w:val="single" w:color="BFBFBF" w:sz="1"/>
              <w:right w:val="single" w:color="BFBFBF" w:sz="1"/>
            </w:tcBorders>
            <w:shd w:fill="1F4E79" w:val="clear"/>
            <w:tcMar>
              <w:top w:type="dxa" w:w="76"/>
              <w:left w:type="dxa" w:w="110"/>
              <w:bottom w:type="dxa" w:w="76"/>
              <w:right w:type="dxa" w:w="110"/>
            </w:tcMar>
            <w:vAlign w:val="center"/>
          </w:tcPr>
          <w:p>
            <w:pPr>
              <w:spacing w:line="252" w:lineRule="auto"/>
              <w:jc w:val="center"/>
            </w:pPr>
            <w:r>
              <w:rPr>
                <w:rFonts w:ascii="Arial" w:cs="Arial" w:eastAsia="Arial" w:hAnsi="Arial"/>
                <w:b/>
                <w:bCs/>
                <w:color w:val="FFFFFF"/>
                <w:sz w:val="20"/>
                <w:szCs w:val="20"/>
              </w:rPr>
              <w:t xml:space="preserve">Kết quả chính</w:t>
            </w:r>
          </w:p>
        </w:tc>
        <w:tc>
          <w:tcPr>
            <w:tcW w:type="dxa" w:w="2108"/>
            <w:tcBorders>
              <w:top w:val="single" w:color="BFBFBF" w:sz="1"/>
              <w:left w:val="single" w:color="BFBFBF" w:sz="1"/>
              <w:bottom w:val="single" w:color="BFBFBF" w:sz="1"/>
              <w:right w:val="single" w:color="BFBFBF" w:sz="1"/>
            </w:tcBorders>
            <w:shd w:fill="1F4E79" w:val="clear"/>
            <w:tcMar>
              <w:top w:type="dxa" w:w="76"/>
              <w:left w:type="dxa" w:w="110"/>
              <w:bottom w:type="dxa" w:w="76"/>
              <w:right w:type="dxa" w:w="110"/>
            </w:tcMar>
            <w:vAlign w:val="center"/>
          </w:tcPr>
          <w:p>
            <w:pPr>
              <w:spacing w:line="252" w:lineRule="auto"/>
              <w:jc w:val="center"/>
            </w:pPr>
            <w:r>
              <w:rPr>
                <w:rFonts w:ascii="Arial" w:cs="Arial" w:eastAsia="Arial" w:hAnsi="Arial"/>
                <w:b/>
                <w:bCs/>
                <w:color w:val="FFFFFF"/>
                <w:sz w:val="20"/>
                <w:szCs w:val="20"/>
              </w:rPr>
              <w:t xml:space="preserve">Mô hình CSDL</w:t>
            </w:r>
          </w:p>
        </w:tc>
        <w:tc>
          <w:tcPr>
            <w:tcW w:type="dxa" w:w="2500"/>
            <w:tcBorders>
              <w:top w:val="single" w:color="BFBFBF" w:sz="1"/>
              <w:left w:val="single" w:color="BFBFBF" w:sz="1"/>
              <w:bottom w:val="single" w:color="BFBFBF" w:sz="1"/>
              <w:right w:val="single" w:color="BFBFBF" w:sz="1"/>
            </w:tcBorders>
            <w:shd w:fill="1F4E79" w:val="clear"/>
            <w:tcMar>
              <w:top w:type="dxa" w:w="76"/>
              <w:left w:type="dxa" w:w="110"/>
              <w:bottom w:type="dxa" w:w="76"/>
              <w:right w:type="dxa" w:w="110"/>
            </w:tcMar>
            <w:vAlign w:val="center"/>
          </w:tcPr>
          <w:p>
            <w:pPr>
              <w:spacing w:line="252" w:lineRule="auto"/>
              <w:jc w:val="center"/>
            </w:pPr>
            <w:r>
              <w:rPr>
                <w:rFonts w:ascii="Arial" w:cs="Arial" w:eastAsia="Arial" w:hAnsi="Arial"/>
                <w:b/>
                <w:bCs/>
                <w:color w:val="FFFFFF"/>
                <w:sz w:val="20"/>
                <w:szCs w:val="20"/>
              </w:rPr>
              <w:t xml:space="preserve">Công nghệ chính</w:t>
            </w:r>
          </w:p>
        </w:tc>
      </w:tr>
      <w:tr>
        <w:tc>
          <w:tcPr>
            <w:tcW w:type="dxa" w:w="12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Mỹ</w:t>
            </w:r>
          </w:p>
        </w:tc>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FSMA 2011; FSMA 204 ban hành 2022; tuân thủ đến 2028</w:t>
            </w:r>
          </w:p>
        </w:tc>
        <w:tc>
          <w:tcPr>
            <w:tcW w:type="dxa" w:w="18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Truy xuất thực phẩm rủi ro cao; cung cấp dữ liệu trong 24 h</w:t>
            </w:r>
          </w:p>
        </w:tc>
        <w:tc>
          <w:tcPr>
            <w:tcW w:type="dxa" w:w="2108"/>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DN lưu dữ liệu; FDA yêu cầu khi kiểm tra</w:t>
            </w:r>
          </w:p>
        </w:tc>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GS1, KDE/CTE, blockchain thí điểm, AI rủi ro</w:t>
            </w:r>
          </w:p>
        </w:tc>
      </w:tr>
      <w:tr>
        <w:tc>
          <w:tcPr>
            <w:tcW w:type="dxa" w:w="128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EU</w:t>
            </w:r>
          </w:p>
        </w:tc>
        <w:tc>
          <w:tcPr>
            <w:tcW w:type="dxa" w:w="19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ESPR/DPP từ 2024; DPP bắt buộc theo ngành 2027–2030</w:t>
            </w:r>
          </w:p>
        </w:tc>
        <w:tc>
          <w:tcPr>
            <w:tcW w:type="dxa" w:w="185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Hộ chiếu số cho pin, dệt may, điện tử, gỗ, hóa chất</w:t>
            </w:r>
          </w:p>
        </w:tc>
        <w:tc>
          <w:tcPr>
            <w:tcW w:type="dxa" w:w="2108"/>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Phi tập trung; DN giữ dữ liệu; cơ quan audit</w:t>
            </w:r>
          </w:p>
        </w:tc>
        <w:tc>
          <w:tcPr>
            <w:tcW w:type="dxa" w:w="25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DPP, QR/NFC/RFID, GS1, AI, blockchain chọn lọc</w:t>
            </w:r>
          </w:p>
        </w:tc>
      </w:tr>
      <w:tr>
        <w:tc>
          <w:tcPr>
            <w:tcW w:type="dxa" w:w="12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Trung Quốc</w:t>
            </w:r>
          </w:p>
        </w:tc>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Từ 2009; thực phẩm, dược, nông sản; QR/digital label từ 2023</w:t>
            </w:r>
          </w:p>
        </w:tc>
        <w:tc>
          <w:tcPr>
            <w:tcW w:type="dxa" w:w="18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Rút ngắn thông quan; kiểm soát thực phẩm, dược, nông sản</w:t>
            </w:r>
          </w:p>
        </w:tc>
        <w:tc>
          <w:tcPr>
            <w:tcW w:type="dxa" w:w="2108"/>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Nhà nước giám sát; DN/platform giữ dữ liệu; Alibaba/JD mạnh</w:t>
            </w:r>
          </w:p>
        </w:tc>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QR, RFID, blockchain pilot, AI giám sát</w:t>
            </w:r>
          </w:p>
        </w:tc>
      </w:tr>
      <w:tr>
        <w:tc>
          <w:tcPr>
            <w:tcW w:type="dxa" w:w="128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Nhật Bản</w:t>
            </w:r>
          </w:p>
        </w:tc>
        <w:tc>
          <w:tcPr>
            <w:tcW w:type="dxa" w:w="19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Sau BSE 2001; bắt buộc thịt bò 2004; mở rộng dần</w:t>
            </w:r>
          </w:p>
        </w:tc>
        <w:tc>
          <w:tcPr>
            <w:tcW w:type="dxa" w:w="185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Niềm tin NTD cao; truy xuất đến nông trại</w:t>
            </w:r>
          </w:p>
        </w:tc>
        <w:tc>
          <w:tcPr>
            <w:tcW w:type="dxa" w:w="2108"/>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Hợp tác công–tư; DN/bán lẻ giữ dữ liệu</w:t>
            </w:r>
          </w:p>
        </w:tc>
        <w:tc>
          <w:tcPr>
            <w:tcW w:type="dxa" w:w="25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RFID, mã vạch, QR, hệ thống siêu thị</w:t>
            </w:r>
          </w:p>
        </w:tc>
      </w:tr>
      <w:tr>
        <w:tc>
          <w:tcPr>
            <w:tcW w:type="dxa" w:w="12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Hàn Quốc</w:t>
            </w:r>
          </w:p>
        </w:tc>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Bắt buộc thịt bò/lợn/gà; mở rộng QR thông minh</w:t>
            </w:r>
          </w:p>
        </w:tc>
        <w:tc>
          <w:tcPr>
            <w:tcW w:type="dxa" w:w="18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Truy xuất tại điểm bán; NTD tra cứu trực tiếp</w:t>
            </w:r>
          </w:p>
        </w:tc>
        <w:tc>
          <w:tcPr>
            <w:tcW w:type="dxa" w:w="2108"/>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Nhà nước đặt chuẩn; DN cập nhật dữ liệu</w:t>
            </w:r>
          </w:p>
        </w:tc>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QR, blockchain, hệ thống TXNG thực phẩm</w:t>
            </w:r>
          </w:p>
        </w:tc>
      </w:tr>
      <w:tr>
        <w:tc>
          <w:tcPr>
            <w:tcW w:type="dxa" w:w="128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Úc</w:t>
            </w:r>
          </w:p>
        </w:tc>
        <w:tc>
          <w:tcPr>
            <w:tcW w:type="dxa" w:w="19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NLIS bắt buộc 2004 cho gia súc; RFID toàn vòng đời</w:t>
            </w:r>
          </w:p>
        </w:tc>
        <w:tc>
          <w:tcPr>
            <w:tcW w:type="dxa" w:w="185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Hỗ trợ xuất khẩu thịt bò cao cấp; truy xuất toàn bộ</w:t>
            </w:r>
          </w:p>
        </w:tc>
        <w:tc>
          <w:tcPr>
            <w:tcW w:type="dxa" w:w="2108"/>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Thị trường dẫn dắt; DN xuất khẩu vận hành</w:t>
            </w:r>
          </w:p>
        </w:tc>
        <w:tc>
          <w:tcPr>
            <w:tcW w:type="dxa" w:w="25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RFID, GS1, cơ sở dữ liệu ngành</w:t>
            </w:r>
          </w:p>
        </w:tc>
      </w:tr>
    </w:tbl>
    <w:p>
      <w:pPr>
        <w:keepNext/>
        <w:spacing w:after="60" w:before="160"/>
      </w:pPr>
      <w:r>
        <w:rPr>
          <w:rFonts w:ascii="Arial" w:cs="Arial" w:eastAsia="Arial" w:hAnsi="Arial"/>
          <w:b/>
          <w:bCs/>
          <w:color w:val="2F5597"/>
          <w:sz w:val="22"/>
          <w:szCs w:val="22"/>
        </w:rPr>
        <w:t xml:space="preserve">2. Nguyên nhân triển khai thành công – 6 yếu tố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1"/>
              <w:left w:val="single" w:color="BFBFBF" w:sz="1"/>
              <w:bottom w:val="single" w:color="BFBFBF" w:sz="1"/>
              <w:right w:val="single" w:color="BFBFBF" w:sz="1"/>
            </w:tcBorders>
            <w:shd w:fill="1F4E79" w:val="clear"/>
            <w:tcMar>
              <w:top w:type="dxa" w:w="76"/>
              <w:left w:type="dxa" w:w="110"/>
              <w:bottom w:type="dxa" w:w="76"/>
              <w:right w:type="dxa" w:w="110"/>
            </w:tcMar>
            <w:vAlign w:val="center"/>
          </w:tcPr>
          <w:p>
            <w:pPr>
              <w:spacing w:line="252" w:lineRule="auto"/>
              <w:jc w:val="center"/>
            </w:pPr>
            <w:r>
              <w:rPr>
                <w:rFonts w:ascii="Arial" w:cs="Arial" w:eastAsia="Arial" w:hAnsi="Arial"/>
                <w:b/>
                <w:bCs/>
                <w:color w:val="FFFFFF"/>
                <w:sz w:val="20"/>
                <w:szCs w:val="20"/>
              </w:rPr>
              <w:t xml:space="preserve">Yếu tố</w:t>
            </w:r>
          </w:p>
        </w:tc>
        <w:tc>
          <w:tcPr>
            <w:tcW w:type="dxa" w:w="7238"/>
            <w:tcBorders>
              <w:top w:val="single" w:color="BFBFBF" w:sz="1"/>
              <w:left w:val="single" w:color="BFBFBF" w:sz="1"/>
              <w:bottom w:val="single" w:color="BFBFBF" w:sz="1"/>
              <w:right w:val="single" w:color="BFBFBF" w:sz="1"/>
            </w:tcBorders>
            <w:shd w:fill="1F4E79" w:val="clear"/>
            <w:tcMar>
              <w:top w:type="dxa" w:w="76"/>
              <w:left w:type="dxa" w:w="110"/>
              <w:bottom w:type="dxa" w:w="76"/>
              <w:right w:type="dxa" w:w="110"/>
            </w:tcMar>
            <w:vAlign w:val="center"/>
          </w:tcPr>
          <w:p>
            <w:pPr>
              <w:spacing w:line="252" w:lineRule="auto"/>
              <w:jc w:val="center"/>
            </w:pPr>
            <w:r>
              <w:rPr>
                <w:rFonts w:ascii="Arial" w:cs="Arial" w:eastAsia="Arial" w:hAnsi="Arial"/>
                <w:b/>
                <w:bCs/>
                <w:color w:val="FFFFFF"/>
                <w:sz w:val="20"/>
                <w:szCs w:val="20"/>
              </w:rPr>
              <w:t xml:space="preserve">Ý nghĩa</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Luật hóa rõ ràng</w:t>
            </w:r>
          </w:p>
        </w:tc>
        <w:tc>
          <w:tcPr>
            <w:tcW w:type="dxa" w:w="7238"/>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TXNG có nghĩa vụ pháp lý theo nhóm ngành/rủi ro, không chỉ khuyến khích</w:t>
            </w:r>
          </w:p>
        </w:tc>
      </w:tr>
      <w:tr>
        <w:tc>
          <w:tcPr>
            <w:tcW w:type="dxa" w:w="24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Triển khai theo rủi ro</w:t>
            </w:r>
          </w:p>
        </w:tc>
        <w:tc>
          <w:tcPr>
            <w:tcW w:type="dxa" w:w="7238"/>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Ưu tiên thực phẩm, dược, nông sản, hàng xuất khẩu, hóa chất; không áp đại trà</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Chuẩn dữ liệu thống nhất</w:t>
            </w:r>
          </w:p>
        </w:tc>
        <w:tc>
          <w:tcPr>
            <w:tcW w:type="dxa" w:w="7238"/>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GS1, EPCIS, KDE/CTE giúp liên thông giữa DN – cơ quan quản lý – thị trường quốc tế</w:t>
            </w:r>
          </w:p>
        </w:tc>
      </w:tr>
      <w:tr>
        <w:tc>
          <w:tcPr>
            <w:tcW w:type="dxa" w:w="24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DN là trung tâm dữ liệu</w:t>
            </w:r>
          </w:p>
        </w:tc>
        <w:tc>
          <w:tcPr>
            <w:tcW w:type="dxa" w:w="7238"/>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DN giữ dữ liệu nghiệp vụ; nhà nước giám sát, yêu cầu cung cấp khi cần</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Platform trung gian mạnh</w:t>
            </w:r>
          </w:p>
        </w:tc>
        <w:tc>
          <w:tcPr>
            <w:tcW w:type="dxa" w:w="7238"/>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Alibaba/JD (Trung Quốc), retail/SaaS (Mỹ), GS1/industry platform (EU)</w:t>
            </w:r>
          </w:p>
        </w:tc>
      </w:tr>
      <w:tr>
        <w:tc>
          <w:tcPr>
            <w:tcW w:type="dxa" w:w="24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Lộ trình đủ dài</w:t>
            </w:r>
          </w:p>
        </w:tc>
        <w:tc>
          <w:tcPr>
            <w:tcW w:type="dxa" w:w="7238"/>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Mỹ &gt;15 năm; EU 6 năm; Nhật/Úc &gt;20 năm – không quốc gia nào triển khai ngay lập tức</w:t>
            </w:r>
          </w:p>
        </w:tc>
      </w:tr>
    </w:tbl>
    <w:p>
      <w:pPr>
        <w:pStyle w:val="Heading1"/>
        <w:keepNext/>
        <w:keepLines/>
        <w:spacing w:after="75" w:before="190"/>
      </w:pPr>
      <w:r>
        <w:rPr>
          <w:rFonts w:ascii="Arial" w:cs="Arial" w:eastAsia="Arial" w:hAnsi="Arial"/>
          <w:b/>
          <w:bCs/>
          <w:color w:val="1F4E79"/>
          <w:sz w:val="24"/>
          <w:szCs w:val="24"/>
        </w:rPr>
        <w:t xml:space="preserve">3. Hình thức quản lý CSDL TXNG</w:t>
      </w:r>
    </w:p>
    <w:p>
      <w:pPr>
        <w:spacing w:after="50" w:before="55" w:line="272" w:lineRule="auto"/>
        <w:jc w:val="both"/>
      </w:pPr>
      <w:r>
        <w:rPr>
          <w:rFonts w:ascii="Arial" w:cs="Arial" w:eastAsia="Arial" w:hAnsi="Arial"/>
          <w:b/>
          <w:bCs/>
          <w:sz w:val="22"/>
          <w:szCs w:val="22"/>
        </w:rPr>
        <w:t xml:space="preserve">Bài học quốc tế quan trọng nhất: </w:t>
      </w:r>
      <w:r>
        <w:rPr>
          <w:rFonts w:ascii="Arial" w:cs="Arial" w:eastAsia="Arial" w:hAnsi="Arial"/>
          <w:sz w:val="22"/>
          <w:szCs w:val="22"/>
        </w:rPr>
        <w:t xml:space="preserve">Không nên tập trung toàn bộ dữ liệu TXNG tại một cơ quan nhà nước. Mô hình hợp lý gồm 3 lớp:</w:t>
      </w:r>
    </w:p>
    <w:p>
      <w:pPr>
        <w:keepNext/>
        <w:spacing w:after="60" w:before="160"/>
      </w:pPr>
      <w:r>
        <w:rPr>
          <w:rFonts w:ascii="Arial" w:cs="Arial" w:eastAsia="Arial" w:hAnsi="Arial"/>
          <w:b/>
          <w:bCs/>
          <w:color w:val="2F5597"/>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038"/>
      </w:tblGrid>
      <w:tr>
        <w:tc>
          <w:tcPr>
            <w:tcW w:type="dxa" w:w="2000"/>
            <w:tcBorders>
              <w:top w:val="single" w:color="BFBFBF" w:sz="1"/>
              <w:left w:val="single" w:color="BFBFBF" w:sz="1"/>
              <w:bottom w:val="single" w:color="BFBFBF" w:sz="1"/>
              <w:right w:val="single" w:color="BFBFBF" w:sz="1"/>
            </w:tcBorders>
            <w:shd w:fill="1F4E79" w:val="clear"/>
            <w:tcMar>
              <w:top w:type="dxa" w:w="76"/>
              <w:left w:type="dxa" w:w="110"/>
              <w:bottom w:type="dxa" w:w="76"/>
              <w:right w:type="dxa" w:w="110"/>
            </w:tcMar>
            <w:vAlign w:val="center"/>
          </w:tcPr>
          <w:p>
            <w:pPr>
              <w:spacing w:line="252" w:lineRule="auto"/>
              <w:jc w:val="center"/>
            </w:pPr>
            <w:r>
              <w:rPr>
                <w:rFonts w:ascii="Arial" w:cs="Arial" w:eastAsia="Arial" w:hAnsi="Arial"/>
                <w:b/>
                <w:bCs/>
                <w:color w:val="FFFFFF"/>
                <w:sz w:val="20"/>
                <w:szCs w:val="20"/>
              </w:rPr>
              <w:t xml:space="preserve">Lớp</w:t>
            </w:r>
          </w:p>
        </w:tc>
        <w:tc>
          <w:tcPr>
            <w:tcW w:type="dxa" w:w="2600"/>
            <w:tcBorders>
              <w:top w:val="single" w:color="BFBFBF" w:sz="1"/>
              <w:left w:val="single" w:color="BFBFBF" w:sz="1"/>
              <w:bottom w:val="single" w:color="BFBFBF" w:sz="1"/>
              <w:right w:val="single" w:color="BFBFBF" w:sz="1"/>
            </w:tcBorders>
            <w:shd w:fill="1F4E79" w:val="clear"/>
            <w:tcMar>
              <w:top w:type="dxa" w:w="76"/>
              <w:left w:type="dxa" w:w="110"/>
              <w:bottom w:type="dxa" w:w="76"/>
              <w:right w:type="dxa" w:w="110"/>
            </w:tcMar>
            <w:vAlign w:val="center"/>
          </w:tcPr>
          <w:p>
            <w:pPr>
              <w:spacing w:line="252" w:lineRule="auto"/>
              <w:jc w:val="center"/>
            </w:pPr>
            <w:r>
              <w:rPr>
                <w:rFonts w:ascii="Arial" w:cs="Arial" w:eastAsia="Arial" w:hAnsi="Arial"/>
                <w:b/>
                <w:bCs/>
                <w:color w:val="FFFFFF"/>
                <w:sz w:val="20"/>
                <w:szCs w:val="20"/>
              </w:rPr>
              <w:t xml:space="preserve">Chủ thể quản lý</w:t>
            </w:r>
          </w:p>
        </w:tc>
        <w:tc>
          <w:tcPr>
            <w:tcW w:type="dxa" w:w="5038"/>
            <w:tcBorders>
              <w:top w:val="single" w:color="BFBFBF" w:sz="1"/>
              <w:left w:val="single" w:color="BFBFBF" w:sz="1"/>
              <w:bottom w:val="single" w:color="BFBFBF" w:sz="1"/>
              <w:right w:val="single" w:color="BFBFBF" w:sz="1"/>
            </w:tcBorders>
            <w:shd w:fill="1F4E79" w:val="clear"/>
            <w:tcMar>
              <w:top w:type="dxa" w:w="76"/>
              <w:left w:type="dxa" w:w="110"/>
              <w:bottom w:type="dxa" w:w="76"/>
              <w:right w:type="dxa" w:w="110"/>
            </w:tcMar>
            <w:vAlign w:val="center"/>
          </w:tcPr>
          <w:p>
            <w:pPr>
              <w:spacing w:line="252" w:lineRule="auto"/>
              <w:jc w:val="center"/>
            </w:pPr>
            <w:r>
              <w:rPr>
                <w:rFonts w:ascii="Arial" w:cs="Arial" w:eastAsia="Arial" w:hAnsi="Arial"/>
                <w:b/>
                <w:bCs/>
                <w:color w:val="FFFFFF"/>
                <w:sz w:val="20"/>
                <w:szCs w:val="20"/>
              </w:rPr>
              <w:t xml:space="preserve">Nội dung</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Lớp định danh / xác thực</w:t>
            </w:r>
          </w:p>
        </w:tc>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Nhà nước (BCA/C12)</w:t>
            </w:r>
          </w:p>
        </w:tc>
        <w:tc>
          <w:tcPr>
            <w:tcW w:type="dxa" w:w="5038"/>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Mã định danh, chuẩn dữ liệu, xác thực, kiểm chứng</w:t>
            </w:r>
          </w:p>
        </w:tc>
      </w:tr>
      <w:tr>
        <w:tc>
          <w:tcPr>
            <w:tcW w:type="dxa" w:w="20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Lớp nghiệp vụ TXNG</w:t>
            </w:r>
          </w:p>
        </w:tc>
        <w:tc>
          <w:tcPr>
            <w:tcW w:type="dxa" w:w="26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DN / hệ thống chuyên ngành</w:t>
            </w:r>
          </w:p>
        </w:tc>
        <w:tc>
          <w:tcPr>
            <w:tcW w:type="dxa" w:w="5038"/>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Sản phẩm, lô, serial, sự kiện SX – logistics – bán lẻ</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Lớp giám sát / thực thi</w:t>
            </w:r>
          </w:p>
        </w:tc>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Bộ/ngành quản lý (BCT, NN, YT...)</w:t>
            </w:r>
          </w:p>
        </w:tc>
        <w:tc>
          <w:tcPr>
            <w:tcW w:type="dxa" w:w="5038"/>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Risk scoring, thanh tra, thu hồi, xử lý vi phạm</w:t>
            </w:r>
          </w:p>
        </w:tc>
      </w:tr>
    </w:tbl>
    <w:p>
      <w:pPr>
        <w:spacing w:after="60" w:before="60" w:line="276" w:lineRule="auto"/>
        <w:jc w:val="both"/>
      </w:pPr>
      <w:r>
        <w:rPr>
          <w:rFonts w:ascii="Arial" w:cs="Arial" w:eastAsia="Arial" w:hAnsi="Arial"/>
          <w:sz w:val="22"/>
          <w:szCs w:val="22"/>
        </w:rPr>
        <w:t xml:space="preserve">Áp dụng cho Việt Nam: BCA/C12 quản lý lớp định danh – xác thực; BCT/VeriGoods++ quản lý lớp nghiệp vụ TXNG; DN giữ và chịu trách nhiệm dữ liệu phát sinh trong sản xuất – phân phối.</w:t>
      </w:r>
    </w:p>
    <w:p>
      <w:pPr>
        <w:keepNext/>
        <w:spacing w:after="60" w:before="160"/>
      </w:pPr>
      <w:r>
        <w:rPr>
          <w:rFonts w:ascii="Arial" w:cs="Arial" w:eastAsia="Arial" w:hAnsi="Arial"/>
          <w:b/>
          <w:bCs/>
          <w:color w:val="2F5597"/>
          <w:sz w:val="22"/>
          <w:szCs w:val="22"/>
        </w:rPr>
        <w:t xml:space="preserve">4. Vai trò các bên tham gia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1"/>
              <w:left w:val="single" w:color="BFBFBF" w:sz="1"/>
              <w:bottom w:val="single" w:color="BFBFBF" w:sz="1"/>
              <w:right w:val="single" w:color="BFBFBF" w:sz="1"/>
            </w:tcBorders>
            <w:shd w:fill="1F4E79" w:val="clear"/>
            <w:tcMar>
              <w:top w:type="dxa" w:w="76"/>
              <w:left w:type="dxa" w:w="110"/>
              <w:bottom w:type="dxa" w:w="76"/>
              <w:right w:type="dxa" w:w="110"/>
            </w:tcMar>
            <w:vAlign w:val="center"/>
          </w:tcPr>
          <w:p>
            <w:pPr>
              <w:spacing w:line="252" w:lineRule="auto"/>
              <w:jc w:val="center"/>
            </w:pPr>
            <w:r>
              <w:rPr>
                <w:rFonts w:ascii="Arial" w:cs="Arial" w:eastAsia="Arial" w:hAnsi="Arial"/>
                <w:b/>
                <w:bCs/>
                <w:color w:val="FFFFFF"/>
                <w:sz w:val="20"/>
                <w:szCs w:val="20"/>
              </w:rPr>
              <w:t xml:space="preserve">Chủ thể</w:t>
            </w:r>
          </w:p>
        </w:tc>
        <w:tc>
          <w:tcPr>
            <w:tcW w:type="dxa" w:w="7238"/>
            <w:tcBorders>
              <w:top w:val="single" w:color="BFBFBF" w:sz="1"/>
              <w:left w:val="single" w:color="BFBFBF" w:sz="1"/>
              <w:bottom w:val="single" w:color="BFBFBF" w:sz="1"/>
              <w:right w:val="single" w:color="BFBFBF" w:sz="1"/>
            </w:tcBorders>
            <w:shd w:fill="1F4E79" w:val="clear"/>
            <w:tcMar>
              <w:top w:type="dxa" w:w="76"/>
              <w:left w:type="dxa" w:w="110"/>
              <w:bottom w:type="dxa" w:w="76"/>
              <w:right w:type="dxa" w:w="110"/>
            </w:tcMar>
            <w:vAlign w:val="center"/>
          </w:tcPr>
          <w:p>
            <w:pPr>
              <w:spacing w:line="252" w:lineRule="auto"/>
              <w:jc w:val="center"/>
            </w:pPr>
            <w:r>
              <w:rPr>
                <w:rFonts w:ascii="Arial" w:cs="Arial" w:eastAsia="Arial" w:hAnsi="Arial"/>
                <w:b/>
                <w:bCs/>
                <w:color w:val="FFFFFF"/>
                <w:sz w:val="20"/>
                <w:szCs w:val="20"/>
              </w:rPr>
              <w:t xml:space="preserve">Vai trò</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Doanh nghiệp</w:t>
            </w:r>
          </w:p>
        </w:tc>
        <w:tc>
          <w:tcPr>
            <w:tcW w:type="dxa" w:w="7238"/>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Tạo lập dữ liệu sản phẩm, lô/mẻ, sự kiện SX, vận chuyển, phân phối; chịu trách nhiệm dữ liệu do mình cung cấp</w:t>
            </w:r>
          </w:p>
        </w:tc>
      </w:tr>
      <w:tr>
        <w:tc>
          <w:tcPr>
            <w:tcW w:type="dxa" w:w="24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Bộ Công Thương</w:t>
            </w:r>
          </w:p>
        </w:tc>
        <w:tc>
          <w:tcPr>
            <w:tcW w:type="dxa" w:w="7238"/>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Quản lý TXNG hàng hóa thuộc phạm vi ngành; vận hành VeriGoods++; QLTT, cảnh báo, xử lý vi phạm</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Bộ Công an / C12</w:t>
            </w:r>
          </w:p>
        </w:tc>
        <w:tc>
          <w:tcPr>
            <w:tcW w:type="dxa" w:w="7238"/>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Định danh, xác thực, UID/DID/PKI, kết nối nền tảng quốc gia</w:t>
            </w:r>
          </w:p>
        </w:tc>
      </w:tr>
      <w:tr>
        <w:tc>
          <w:tcPr>
            <w:tcW w:type="dxa" w:w="24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Bộ KH&amp;CN / GS1 VN</w:t>
            </w:r>
          </w:p>
        </w:tc>
        <w:tc>
          <w:tcPr>
            <w:tcW w:type="dxa" w:w="7238"/>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Tiêu chuẩn mã số mã vạch, GS1, chuẩn TXNG quốc gia</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Bộ NN&amp;MT</w:t>
            </w:r>
          </w:p>
        </w:tc>
        <w:tc>
          <w:tcPr>
            <w:tcW w:type="dxa" w:w="7238"/>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TXNG nông sản, vùng trồng, sản phẩm nông nghiệp xuất khẩu</w:t>
            </w:r>
          </w:p>
        </w:tc>
      </w:tr>
      <w:tr>
        <w:tc>
          <w:tcPr>
            <w:tcW w:type="dxa" w:w="24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Địa phương</w:t>
            </w:r>
          </w:p>
        </w:tc>
        <w:tc>
          <w:tcPr>
            <w:tcW w:type="dxa" w:w="7238"/>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Triển khai OCOP, nông sản chủ lực, kết nối DN địa phương với hệ thống quốc gia</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Người tiêu dùng</w:t>
            </w:r>
          </w:p>
        </w:tc>
        <w:tc>
          <w:tcPr>
            <w:tcW w:type="dxa" w:w="7238"/>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Quét mã, kiểm tra thông tin, phản ánh nghi vấn, tạo nhu cầu thị trường</w:t>
            </w:r>
          </w:p>
        </w:tc>
      </w:tr>
      <w:tr>
        <w:tc>
          <w:tcPr>
            <w:tcW w:type="dxa" w:w="24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Sàn TMĐT / bán lẻ</w:t>
            </w:r>
          </w:p>
        </w:tc>
        <w:tc>
          <w:tcPr>
            <w:tcW w:type="dxa" w:w="7238"/>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Tạo sức kéo thị trường – yêu cầu nhà cung cấp có TXNG khi niêm yết</w:t>
            </w:r>
          </w:p>
        </w:tc>
      </w:tr>
    </w:tbl>
    <w:p>
      <w:pPr>
        <w:keepNext/>
        <w:spacing w:after="60" w:before="160"/>
      </w:pPr>
      <w:r>
        <w:rPr>
          <w:rFonts w:ascii="Arial" w:cs="Arial" w:eastAsia="Arial" w:hAnsi="Arial"/>
          <w:b/>
          <w:bCs/>
          <w:color w:val="2F5597"/>
          <w:sz w:val="22"/>
          <w:szCs w:val="22"/>
        </w:rPr>
        <w:t xml:space="preserve">5. Mức độ áp dụng Blockchain và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0"/>
        <w:gridCol w:w="3800"/>
        <w:gridCol w:w="4158"/>
      </w:tblGrid>
      <w:tr>
        <w:tc>
          <w:tcPr>
            <w:tcW w:type="dxa" w:w="1680"/>
            <w:tcBorders>
              <w:top w:val="single" w:color="BFBFBF" w:sz="1"/>
              <w:left w:val="single" w:color="BFBFBF" w:sz="1"/>
              <w:bottom w:val="single" w:color="BFBFBF" w:sz="1"/>
              <w:right w:val="single" w:color="BFBFBF" w:sz="1"/>
            </w:tcBorders>
            <w:shd w:fill="1F4E79" w:val="clear"/>
            <w:tcMar>
              <w:top w:type="dxa" w:w="76"/>
              <w:left w:type="dxa" w:w="110"/>
              <w:bottom w:type="dxa" w:w="76"/>
              <w:right w:type="dxa" w:w="110"/>
            </w:tcMar>
            <w:vAlign w:val="center"/>
          </w:tcPr>
          <w:p>
            <w:pPr>
              <w:spacing w:line="252" w:lineRule="auto"/>
              <w:jc w:val="center"/>
            </w:pPr>
            <w:r>
              <w:rPr>
                <w:rFonts w:ascii="Arial" w:cs="Arial" w:eastAsia="Arial" w:hAnsi="Arial"/>
                <w:b/>
                <w:bCs/>
                <w:color w:val="FFFFFF"/>
                <w:sz w:val="20"/>
                <w:szCs w:val="20"/>
              </w:rPr>
              <w:t xml:space="preserve">Công nghệ</w:t>
            </w:r>
          </w:p>
        </w:tc>
        <w:tc>
          <w:tcPr>
            <w:tcW w:type="dxa" w:w="3800"/>
            <w:tcBorders>
              <w:top w:val="single" w:color="BFBFBF" w:sz="1"/>
              <w:left w:val="single" w:color="BFBFBF" w:sz="1"/>
              <w:bottom w:val="single" w:color="BFBFBF" w:sz="1"/>
              <w:right w:val="single" w:color="BFBFBF" w:sz="1"/>
            </w:tcBorders>
            <w:shd w:fill="1F4E79" w:val="clear"/>
            <w:tcMar>
              <w:top w:type="dxa" w:w="76"/>
              <w:left w:type="dxa" w:w="110"/>
              <w:bottom w:type="dxa" w:w="76"/>
              <w:right w:type="dxa" w:w="110"/>
            </w:tcMar>
            <w:vAlign w:val="center"/>
          </w:tcPr>
          <w:p>
            <w:pPr>
              <w:spacing w:line="252" w:lineRule="auto"/>
              <w:jc w:val="center"/>
            </w:pPr>
            <w:r>
              <w:rPr>
                <w:rFonts w:ascii="Arial" w:cs="Arial" w:eastAsia="Arial" w:hAnsi="Arial"/>
                <w:b/>
                <w:bCs/>
                <w:color w:val="FFFFFF"/>
                <w:sz w:val="20"/>
                <w:szCs w:val="20"/>
              </w:rPr>
              <w:t xml:space="preserve">Vai trò</w:t>
            </w:r>
          </w:p>
        </w:tc>
        <w:tc>
          <w:tcPr>
            <w:tcW w:type="dxa" w:w="4158"/>
            <w:tcBorders>
              <w:top w:val="single" w:color="BFBFBF" w:sz="1"/>
              <w:left w:val="single" w:color="BFBFBF" w:sz="1"/>
              <w:bottom w:val="single" w:color="BFBFBF" w:sz="1"/>
              <w:right w:val="single" w:color="BFBFBF" w:sz="1"/>
            </w:tcBorders>
            <w:shd w:fill="1F4E79" w:val="clear"/>
            <w:tcMar>
              <w:top w:type="dxa" w:w="76"/>
              <w:left w:type="dxa" w:w="110"/>
              <w:bottom w:type="dxa" w:w="76"/>
              <w:right w:type="dxa" w:w="110"/>
            </w:tcMar>
            <w:vAlign w:val="center"/>
          </w:tcPr>
          <w:p>
            <w:pPr>
              <w:spacing w:line="252" w:lineRule="auto"/>
              <w:jc w:val="center"/>
            </w:pPr>
            <w:r>
              <w:rPr>
                <w:rFonts w:ascii="Arial" w:cs="Arial" w:eastAsia="Arial" w:hAnsi="Arial"/>
                <w:b/>
                <w:bCs/>
                <w:color w:val="FFFFFF"/>
                <w:sz w:val="20"/>
                <w:szCs w:val="20"/>
              </w:rPr>
              <w:t xml:space="preserve">Mức độ nên áp dụng</w:t>
            </w:r>
          </w:p>
        </w:tc>
      </w:tr>
      <w:tr>
        <w:tc>
          <w:tcPr>
            <w:tcW w:type="dxa" w:w="16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Blockchain</w:t>
            </w:r>
          </w:p>
        </w:tc>
        <w:tc>
          <w:tcPr>
            <w:tcW w:type="dxa" w:w="3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Lớp bằng chứng, lưu hash/proof, chống sửa đổi dữ liệu</w:t>
            </w:r>
          </w:p>
        </w:tc>
        <w:tc>
          <w:tcPr>
            <w:tcW w:type="dxa" w:w="4158"/>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Chọn lọc: VC, audit, chứng nhận, sự kiện rủi ro cao; không làm core</w:t>
            </w:r>
          </w:p>
        </w:tc>
      </w:tr>
      <w:tr>
        <w:tc>
          <w:tcPr>
            <w:tcW w:type="dxa" w:w="168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AI</w:t>
            </w:r>
          </w:p>
        </w:tc>
        <w:tc>
          <w:tcPr>
            <w:tcW w:type="dxa" w:w="38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Phân tích rủi ro, phát hiện bất thường, chống hàng giả, dự báo điểm nóng</w:t>
            </w:r>
          </w:p>
        </w:tc>
        <w:tc>
          <w:tcPr>
            <w:tcW w:type="dxa" w:w="4158"/>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Cốt lõi: Risk Engine, Monitoring, Alert, Analytics</w:t>
            </w:r>
          </w:p>
        </w:tc>
      </w:tr>
      <w:tr>
        <w:tc>
          <w:tcPr>
            <w:tcW w:type="dxa" w:w="16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QR / GS1 Digital Link</w:t>
            </w:r>
          </w:p>
        </w:tc>
        <w:tc>
          <w:tcPr>
            <w:tcW w:type="dxa" w:w="3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Vật mang dữ liệu; người tiêu dùng quét tra cứu</w:t>
            </w:r>
          </w:p>
        </w:tc>
        <w:tc>
          <w:tcPr>
            <w:tcW w:type="dxa" w:w="4158"/>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Áp dụng rộng; cần lộ trình, tránh bắt buộc ngay với mọi DN</w:t>
            </w:r>
          </w:p>
        </w:tc>
      </w:tr>
      <w:tr>
        <w:tc>
          <w:tcPr>
            <w:tcW w:type="dxa" w:w="168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RFID / NFC</w:t>
            </w:r>
          </w:p>
        </w:tc>
        <w:tc>
          <w:tcPr>
            <w:tcW w:type="dxa" w:w="38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Truy xuất đơn vị/tài sản giá trị cao, chuỗi lạnh</w:t>
            </w:r>
          </w:p>
        </w:tc>
        <w:tc>
          <w:tcPr>
            <w:tcW w:type="dxa" w:w="4158"/>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Chọn lọc theo ngành hàng</w:t>
            </w:r>
          </w:p>
        </w:tc>
      </w:tr>
      <w:tr>
        <w:tc>
          <w:tcPr>
            <w:tcW w:type="dxa" w:w="168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EPCIS</w:t>
            </w:r>
          </w:p>
        </w:tc>
        <w:tc>
          <w:tcPr>
            <w:tcW w:type="dxa" w:w="3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Chuẩn dữ liệu sự kiện chuỗi cung ứng</w:t>
            </w:r>
          </w:p>
        </w:tc>
        <w:tc>
          <w:tcPr>
            <w:tcW w:type="dxa" w:w="4158"/>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Nên là lõi dữ liệu TXNG của VeriGoods++</w:t>
            </w:r>
          </w:p>
        </w:tc>
      </w:tr>
    </w:tbl>
    <w:p>
      <w:pPr>
        <w:spacing w:after="90" w:before="90" w:line="268" w:lineRule="auto"/>
        <w:jc w:val="center"/>
      </w:pPr>
      <w:r>
        <w:rPr>
          <w:rFonts w:ascii="Arial" w:cs="Arial" w:eastAsia="Arial" w:hAnsi="Arial"/>
          <w:i/>
          <w:iCs/>
          <w:color w:val="1F4E79"/>
          <w:sz w:val="22"/>
          <w:szCs w:val="22"/>
        </w:rPr>
        <w:t xml:space="preserve">AI là lớp giá trị vận hành; Blockchain là lớp kiểm chứng chọn lọc. Không nên xây kiến trúc "blockchain-first".</w:t>
      </w:r>
    </w:p>
    <w:p>
      <w:pPr>
        <w:keepNext/>
        <w:pageBreakBefore/>
        <w:spacing w:after="60" w:before="0"/>
      </w:pPr>
      <w:r>
        <w:rPr>
          <w:rFonts w:ascii="Arial" w:cs="Arial" w:eastAsia="Arial" w:hAnsi="Arial"/>
          <w:b/>
          <w:bCs/>
          <w:color w:val="2F5597"/>
          <w:sz w:val="22"/>
          <w:szCs w:val="22"/>
        </w:rPr>
        <w:t xml:space="preserve">6. Các đơn vị đã áp dụng TXNG tại Việt Nam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c>
          <w:tcPr>
            <w:tcW w:type="dxa" w:w="2200"/>
            <w:tcBorders>
              <w:top w:val="single" w:color="BFBFBF" w:sz="1"/>
              <w:left w:val="single" w:color="BFBFBF" w:sz="1"/>
              <w:bottom w:val="single" w:color="BFBFBF" w:sz="1"/>
              <w:right w:val="single" w:color="BFBFBF" w:sz="1"/>
            </w:tcBorders>
            <w:shd w:fill="1F4E79" w:val="clear"/>
            <w:tcMar>
              <w:top w:type="dxa" w:w="76"/>
              <w:left w:type="dxa" w:w="110"/>
              <w:bottom w:type="dxa" w:w="76"/>
              <w:right w:type="dxa" w:w="110"/>
            </w:tcMar>
            <w:vAlign w:val="center"/>
          </w:tcPr>
          <w:p>
            <w:pPr>
              <w:spacing w:line="252" w:lineRule="auto"/>
              <w:jc w:val="center"/>
            </w:pPr>
            <w:r>
              <w:rPr>
                <w:rFonts w:ascii="Arial" w:cs="Arial" w:eastAsia="Arial" w:hAnsi="Arial"/>
                <w:b/>
                <w:bCs/>
                <w:color w:val="FFFFFF"/>
                <w:sz w:val="20"/>
                <w:szCs w:val="20"/>
              </w:rPr>
              <w:t xml:space="preserve">Nhóm</w:t>
            </w:r>
          </w:p>
        </w:tc>
        <w:tc>
          <w:tcPr>
            <w:tcW w:type="dxa" w:w="2800"/>
            <w:tcBorders>
              <w:top w:val="single" w:color="BFBFBF" w:sz="1"/>
              <w:left w:val="single" w:color="BFBFBF" w:sz="1"/>
              <w:bottom w:val="single" w:color="BFBFBF" w:sz="1"/>
              <w:right w:val="single" w:color="BFBFBF" w:sz="1"/>
            </w:tcBorders>
            <w:shd w:fill="1F4E79" w:val="clear"/>
            <w:tcMar>
              <w:top w:type="dxa" w:w="76"/>
              <w:left w:type="dxa" w:w="110"/>
              <w:bottom w:type="dxa" w:w="76"/>
              <w:right w:type="dxa" w:w="110"/>
            </w:tcMar>
            <w:vAlign w:val="center"/>
          </w:tcPr>
          <w:p>
            <w:pPr>
              <w:spacing w:line="252" w:lineRule="auto"/>
              <w:jc w:val="center"/>
            </w:pPr>
            <w:r>
              <w:rPr>
                <w:rFonts w:ascii="Arial" w:cs="Arial" w:eastAsia="Arial" w:hAnsi="Arial"/>
                <w:b/>
                <w:bCs/>
                <w:color w:val="FFFFFF"/>
                <w:sz w:val="20"/>
                <w:szCs w:val="20"/>
              </w:rPr>
              <w:t xml:space="preserve">Đơn vị / hệ thống</w:t>
            </w:r>
          </w:p>
        </w:tc>
        <w:tc>
          <w:tcPr>
            <w:tcW w:type="dxa" w:w="4638"/>
            <w:tcBorders>
              <w:top w:val="single" w:color="BFBFBF" w:sz="1"/>
              <w:left w:val="single" w:color="BFBFBF" w:sz="1"/>
              <w:bottom w:val="single" w:color="BFBFBF" w:sz="1"/>
              <w:right w:val="single" w:color="BFBFBF" w:sz="1"/>
            </w:tcBorders>
            <w:shd w:fill="1F4E79" w:val="clear"/>
            <w:tcMar>
              <w:top w:type="dxa" w:w="76"/>
              <w:left w:type="dxa" w:w="110"/>
              <w:bottom w:type="dxa" w:w="76"/>
              <w:right w:type="dxa" w:w="110"/>
            </w:tcMar>
            <w:vAlign w:val="center"/>
          </w:tcPr>
          <w:p>
            <w:pPr>
              <w:spacing w:line="252" w:lineRule="auto"/>
              <w:jc w:val="center"/>
            </w:pPr>
            <w:r>
              <w:rPr>
                <w:rFonts w:ascii="Arial" w:cs="Arial" w:eastAsia="Arial" w:hAnsi="Arial"/>
                <w:b/>
                <w:bCs/>
                <w:color w:val="FFFFFF"/>
                <w:sz w:val="20"/>
                <w:szCs w:val="20"/>
              </w:rPr>
              <w:t xml:space="preserve">Nội dung triển khai</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Bộ KH&amp;CN</w:t>
            </w:r>
          </w:p>
        </w:tc>
        <w:tc>
          <w:tcPr>
            <w:tcW w:type="dxa" w:w="2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Cổng TXNG quốc gia / GS1 VN</w:t>
            </w:r>
          </w:p>
        </w:tc>
        <w:tc>
          <w:tcPr>
            <w:tcW w:type="dxa" w:w="4638"/>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Chuẩn mã số mã vạch, TT 02/2024/TT-BKHCN, kết nối DN</w:t>
            </w:r>
          </w:p>
        </w:tc>
      </w:tr>
      <w:tr>
        <w:tc>
          <w:tcPr>
            <w:tcW w:type="dxa" w:w="22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Bộ Công Thương</w:t>
            </w:r>
          </w:p>
        </w:tc>
        <w:tc>
          <w:tcPr>
            <w:tcW w:type="dxa" w:w="28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VeriGoods.vn, iTrace247, TT 11/2026/TT-BCT</w:t>
            </w:r>
          </w:p>
        </w:tc>
        <w:tc>
          <w:tcPr>
            <w:tcW w:type="dxa" w:w="4638"/>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TXNG hàng hóa, thực phẩm, hàng rủi ro cao</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Bộ NN&amp;PTNT / NN&amp;MT</w:t>
            </w:r>
          </w:p>
        </w:tc>
        <w:tc>
          <w:tcPr>
            <w:tcW w:type="dxa" w:w="2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Hệ thống TXNG nông sản</w:t>
            </w:r>
          </w:p>
        </w:tc>
        <w:tc>
          <w:tcPr>
            <w:tcW w:type="dxa" w:w="4638"/>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Thí điểm sầu riêng; mở rộng nông sản xuất khẩu</w:t>
            </w:r>
          </w:p>
        </w:tc>
      </w:tr>
      <w:tr>
        <w:tc>
          <w:tcPr>
            <w:tcW w:type="dxa" w:w="22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Bộ Công an</w:t>
            </w:r>
          </w:p>
        </w:tc>
        <w:tc>
          <w:tcPr>
            <w:tcW w:type="dxa" w:w="28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Dự thảo Nghị định UID/DID/C12</w:t>
            </w:r>
          </w:p>
        </w:tc>
        <w:tc>
          <w:tcPr>
            <w:tcW w:type="dxa" w:w="4638"/>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Định danh, xác thực, nền tảng quốc gia</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Địa phương</w:t>
            </w:r>
          </w:p>
        </w:tc>
        <w:tc>
          <w:tcPr>
            <w:tcW w:type="dxa" w:w="2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TP.HCM, Hà Nội, Đà Nẵng, Thanh Hóa, Bắc Giang...</w:t>
            </w:r>
          </w:p>
        </w:tc>
        <w:tc>
          <w:tcPr>
            <w:tcW w:type="dxa" w:w="4638"/>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OCOP, nông sản, đặc sản địa phương</w:t>
            </w:r>
          </w:p>
        </w:tc>
      </w:tr>
      <w:tr>
        <w:tc>
          <w:tcPr>
            <w:tcW w:type="dxa" w:w="22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DN / nền tảng tư nhân</w:t>
            </w:r>
          </w:p>
        </w:tc>
        <w:tc>
          <w:tcPr>
            <w:tcW w:type="dxa" w:w="28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iCheck, VinCommerce, Central Retail, DN xuất khẩu</w:t>
            </w:r>
          </w:p>
        </w:tc>
        <w:tc>
          <w:tcPr>
            <w:tcW w:type="dxa" w:w="4638"/>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QR, GS1, blockchain; yêu cầu TXNG từ nhà cung cấp</w:t>
            </w:r>
          </w:p>
        </w:tc>
      </w:tr>
    </w:tbl>
    <w:p>
      <w:pPr>
        <w:pStyle w:val="Heading1"/>
        <w:keepNext/>
        <w:keepLines/>
        <w:spacing w:after="75" w:before="190"/>
      </w:pPr>
      <w:r>
        <w:rPr>
          <w:rFonts w:ascii="Arial" w:cs="Arial" w:eastAsia="Arial" w:hAnsi="Arial"/>
          <w:b/>
          <w:bCs/>
          <w:color w:val="1F4E79"/>
          <w:sz w:val="24"/>
          <w:szCs w:val="24"/>
        </w:rPr>
        <w:t xml:space="preserve">7. Bài học kinh nghiệm và đề xuất cho Bộ Công Thương</w:t>
      </w:r>
    </w:p>
    <w:p>
      <w:pPr>
        <w:keepNext/>
        <w:spacing w:after="40" w:before="50"/>
      </w:pPr>
      <w:r>
        <w:rPr>
          <w:rFonts w:ascii="Arial" w:cs="Arial" w:eastAsia="Arial" w:hAnsi="Arial"/>
          <w:b/>
          <w:bCs/>
          <w:color w:val="2F5597"/>
          <w:sz w:val="22"/>
          <w:szCs w:val="22"/>
        </w:rPr>
        <w:t xml:space="preserve">Bài học chính:</w:t>
      </w:r>
    </w:p>
    <w:p>
      <w:pPr>
        <w:pStyle w:val="ListParagraph"/>
        <w:numPr>
          <w:ilvl w:val="0"/>
          <w:numId w:val="2"/>
        </w:numPr>
        <w:spacing w:after="60" w:before="60" w:line="268" w:lineRule="auto"/>
      </w:pPr>
      <w:r>
        <w:rPr>
          <w:rFonts w:ascii="Arial" w:cs="Arial" w:eastAsia="Arial" w:hAnsi="Arial"/>
          <w:sz w:val="22"/>
          <w:szCs w:val="22"/>
        </w:rPr>
        <w:t xml:space="preserve">Không áp dụng đồng loạt – phải risk-based theo nhóm ngành/rủi ro.</w:t>
      </w:r>
    </w:p>
    <w:p>
      <w:pPr>
        <w:pStyle w:val="ListParagraph"/>
        <w:numPr>
          <w:ilvl w:val="0"/>
          <w:numId w:val="2"/>
        </w:numPr>
        <w:spacing w:after="60" w:before="60" w:line="268" w:lineRule="auto"/>
      </w:pPr>
      <w:r>
        <w:rPr>
          <w:rFonts w:ascii="Arial" w:cs="Arial" w:eastAsia="Arial" w:hAnsi="Arial"/>
          <w:sz w:val="22"/>
          <w:szCs w:val="22"/>
        </w:rPr>
        <w:t xml:space="preserve">Không bắt DN khai báo nhiều hệ thống; nhà nước phải liên thông phía sau.</w:t>
      </w:r>
    </w:p>
    <w:p>
      <w:pPr>
        <w:pStyle w:val="ListParagraph"/>
        <w:numPr>
          <w:ilvl w:val="0"/>
          <w:numId w:val="2"/>
        </w:numPr>
        <w:spacing w:after="60" w:before="60" w:line="268" w:lineRule="auto"/>
      </w:pPr>
      <w:r>
        <w:rPr>
          <w:rFonts w:ascii="Arial" w:cs="Arial" w:eastAsia="Arial" w:hAnsi="Arial"/>
          <w:sz w:val="22"/>
          <w:szCs w:val="22"/>
        </w:rPr>
        <w:t xml:space="preserve">Không công khai toàn bộ chuỗi cung ứng; cần phân quyền dữ liệu (công khai / hạn chế / mật).</w:t>
      </w:r>
    </w:p>
    <w:p>
      <w:pPr>
        <w:pStyle w:val="ListParagraph"/>
        <w:numPr>
          <w:ilvl w:val="0"/>
          <w:numId w:val="2"/>
        </w:numPr>
        <w:spacing w:after="60" w:before="60" w:line="268" w:lineRule="auto"/>
      </w:pPr>
      <w:r>
        <w:rPr>
          <w:rFonts w:ascii="Arial" w:cs="Arial" w:eastAsia="Arial" w:hAnsi="Arial"/>
          <w:sz w:val="22"/>
          <w:szCs w:val="22"/>
        </w:rPr>
        <w:t xml:space="preserve">Không bắt buộc serial đến từng đơn vị cho mọi ngành; ưu tiên lô/mẻ với FMCG.</w:t>
      </w:r>
    </w:p>
    <w:p>
      <w:pPr>
        <w:pStyle w:val="ListParagraph"/>
        <w:numPr>
          <w:ilvl w:val="0"/>
          <w:numId w:val="2"/>
        </w:numPr>
        <w:spacing w:after="60" w:before="60" w:line="268" w:lineRule="auto"/>
      </w:pPr>
      <w:r>
        <w:rPr>
          <w:rFonts w:ascii="Arial" w:cs="Arial" w:eastAsia="Arial" w:hAnsi="Arial"/>
          <w:sz w:val="22"/>
          <w:szCs w:val="22"/>
        </w:rPr>
        <w:t xml:space="preserve">Lộ trình tối thiểu 3–5 năm, có giai đoạn thí điểm trước khi mở rộng bắt buộc.</w:t>
      </w:r>
    </w:p>
    <w:p>
      <w:pPr>
        <w:pStyle w:val="ListParagraph"/>
        <w:numPr>
          <w:ilvl w:val="0"/>
          <w:numId w:val="2"/>
        </w:numPr>
        <w:spacing w:after="60" w:before="40" w:line="268" w:lineRule="auto"/>
      </w:pPr>
      <w:r>
        <w:rPr>
          <w:rFonts w:ascii="Arial" w:cs="Arial" w:eastAsia="Arial" w:hAnsi="Arial"/>
          <w:sz w:val="22"/>
          <w:szCs w:val="22"/>
        </w:rPr>
        <w:t xml:space="preserve">Tích hợp TMĐT và bán lẻ hiện đại để tạo sức kéo thị trường từ dưới lên.</w:t>
      </w:r>
    </w:p>
    <w:p>
      <w:pPr>
        <w:keepNext/>
        <w:spacing w:after="60" w:before="160"/>
      </w:pPr>
      <w:r>
        <w:rPr>
          <w:rFonts w:ascii="Arial" w:cs="Arial" w:eastAsia="Arial" w:hAnsi="Arial"/>
          <w:b/>
          <w:bCs/>
          <w:color w:val="2F5597"/>
          <w:sz w:val="22"/>
          <w:szCs w:val="22"/>
        </w:rPr>
        <w:t xml:space="preserve">Đề xuất cụ thể cho Bộ Công Thương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BFBFBF" w:sz="1"/>
              <w:left w:val="single" w:color="BFBFBF" w:sz="1"/>
              <w:bottom w:val="single" w:color="BFBFBF" w:sz="1"/>
              <w:right w:val="single" w:color="BFBFBF" w:sz="1"/>
            </w:tcBorders>
            <w:shd w:fill="1F4E79" w:val="clear"/>
            <w:tcMar>
              <w:top w:type="dxa" w:w="76"/>
              <w:left w:type="dxa" w:w="110"/>
              <w:bottom w:type="dxa" w:w="76"/>
              <w:right w:type="dxa" w:w="110"/>
            </w:tcMar>
            <w:vAlign w:val="center"/>
          </w:tcPr>
          <w:p>
            <w:pPr>
              <w:spacing w:line="252" w:lineRule="auto"/>
              <w:jc w:val="center"/>
            </w:pPr>
            <w:r>
              <w:rPr>
                <w:rFonts w:ascii="Arial" w:cs="Arial" w:eastAsia="Arial" w:hAnsi="Arial"/>
                <w:b/>
                <w:bCs/>
                <w:color w:val="FFFFFF"/>
                <w:sz w:val="20"/>
                <w:szCs w:val="20"/>
              </w:rPr>
              <w:t xml:space="preserve">Trụ cột</w:t>
            </w:r>
          </w:p>
        </w:tc>
        <w:tc>
          <w:tcPr>
            <w:tcW w:type="dxa" w:w="7638"/>
            <w:tcBorders>
              <w:top w:val="single" w:color="BFBFBF" w:sz="1"/>
              <w:left w:val="single" w:color="BFBFBF" w:sz="1"/>
              <w:bottom w:val="single" w:color="BFBFBF" w:sz="1"/>
              <w:right w:val="single" w:color="BFBFBF" w:sz="1"/>
            </w:tcBorders>
            <w:shd w:fill="1F4E79" w:val="clear"/>
            <w:tcMar>
              <w:top w:type="dxa" w:w="76"/>
              <w:left w:type="dxa" w:w="110"/>
              <w:bottom w:type="dxa" w:w="76"/>
              <w:right w:type="dxa" w:w="110"/>
            </w:tcMar>
            <w:vAlign w:val="center"/>
          </w:tcPr>
          <w:p>
            <w:pPr>
              <w:spacing w:line="252" w:lineRule="auto"/>
              <w:jc w:val="center"/>
            </w:pPr>
            <w:r>
              <w:rPr>
                <w:rFonts w:ascii="Arial" w:cs="Arial" w:eastAsia="Arial" w:hAnsi="Arial"/>
                <w:b/>
                <w:bCs/>
                <w:color w:val="FFFFFF"/>
                <w:sz w:val="20"/>
                <w:szCs w:val="20"/>
              </w:rPr>
              <w:t xml:space="preserve">Đề xuất</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Pháp lý</w:t>
            </w:r>
          </w:p>
        </w:tc>
        <w:tc>
          <w:tcPr>
            <w:tcW w:type="dxa" w:w="7638"/>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Phối hợp BCA, KH&amp;CN, NN&amp;MT thống nhất UID, GTIN, EPCIS, quyền dữ liệu</w:t>
            </w:r>
          </w:p>
        </w:tc>
      </w:tr>
      <w:tr>
        <w:tc>
          <w:tcPr>
            <w:tcW w:type="dxa" w:w="20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Hệ thống</w:t>
            </w:r>
          </w:p>
        </w:tc>
        <w:tc>
          <w:tcPr>
            <w:tcW w:type="dxa" w:w="7638"/>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Nâng cấp VeriGoods++ thành lớp ứng dụng chuyên ngành BCT, kết nối NDOP/C12</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Dữ liệu</w:t>
            </w:r>
          </w:p>
        </w:tc>
        <w:tc>
          <w:tcPr>
            <w:tcW w:type="dxa" w:w="7638"/>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Áp dụng EPCIS cho event; phân quyền dữ liệu: công khai – hạn chế – mật</w:t>
            </w:r>
          </w:p>
        </w:tc>
      </w:tr>
      <w:tr>
        <w:tc>
          <w:tcPr>
            <w:tcW w:type="dxa" w:w="20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Công nghệ</w:t>
            </w:r>
          </w:p>
        </w:tc>
        <w:tc>
          <w:tcPr>
            <w:tcW w:type="dxa" w:w="7638"/>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AI-first cho risk/fraud; blockchain chỉ dùng proof/hash chọn lọc</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Lộ trình</w:t>
            </w:r>
          </w:p>
        </w:tc>
        <w:tc>
          <w:tcPr>
            <w:tcW w:type="dxa" w:w="7638"/>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2026–2028 thí điểm → 2028–2031 mở rộng → 2031–2035 hội nhập sâu</w:t>
            </w:r>
          </w:p>
        </w:tc>
      </w:tr>
      <w:tr>
        <w:tc>
          <w:tcPr>
            <w:tcW w:type="dxa" w:w="20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Hỗ trợ DN</w:t>
            </w:r>
          </w:p>
        </w:tc>
        <w:tc>
          <w:tcPr>
            <w:tcW w:type="dxa" w:w="7638"/>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SME được dùng API/Excel/batch theo mức độ số hóa; có gói hỗ trợ kỹ thuật</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Thị trường</w:t>
            </w:r>
          </w:p>
        </w:tc>
        <w:tc>
          <w:tcPr>
            <w:tcW w:type="dxa" w:w="7638"/>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Yêu cầu sàn TMĐT, siêu thị, chuỗi bán lẻ hiển thị thông tin TXNG</w:t>
            </w:r>
          </w:p>
        </w:tc>
      </w:tr>
      <w:tr>
        <w:tc>
          <w:tcPr>
            <w:tcW w:type="dxa" w:w="2000"/>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bCs/>
                <w:color w:val="000000"/>
                <w:sz w:val="20"/>
                <w:szCs w:val="20"/>
              </w:rPr>
              <w:t xml:space="preserve">Người tiêu dùng</w:t>
            </w:r>
          </w:p>
        </w:tc>
        <w:tc>
          <w:tcPr>
            <w:tcW w:type="dxa" w:w="7638"/>
            <w:tcBorders>
              <w:top w:val="single" w:color="BFBFBF" w:sz="1"/>
              <w:left w:val="single" w:color="BFBFBF" w:sz="1"/>
              <w:bottom w:val="single" w:color="BFBFBF" w:sz="1"/>
              <w:right w:val="single" w:color="BFBFBF" w:sz="1"/>
            </w:tcBorders>
            <w:shd w:fill="EEF3FA" w:val="clear"/>
            <w:tcMar>
              <w:top w:type="dxa" w:w="70"/>
              <w:left w:type="dxa" w:w="110"/>
              <w:bottom w:type="dxa" w:w="70"/>
              <w:right w:type="dxa" w:w="110"/>
            </w:tcMar>
            <w:vAlign w:val="top"/>
          </w:tcPr>
          <w:p>
            <w:pPr>
              <w:spacing w:line="248" w:lineRule="auto"/>
              <w:jc w:val="left"/>
            </w:pPr>
            <w:r>
              <w:rPr>
                <w:rFonts w:ascii="Arial" w:cs="Arial" w:eastAsia="Arial" w:hAnsi="Arial"/>
                <w:b w:val="false"/>
                <w:bCs w:val="false"/>
                <w:color w:val="000000"/>
                <w:sz w:val="20"/>
                <w:szCs w:val="20"/>
              </w:rPr>
              <w:t xml:space="preserve">Chiến dịch quốc gia "Quét mã – biết nguồn gốc"</w:t>
            </w:r>
          </w:p>
        </w:tc>
      </w:tr>
    </w:tbl>
    <w:p>
      <w:pPr>
        <w:spacing w:after="100" w:before="120" w:line="290" w:lineRule="auto"/>
        <w:jc w:val="both"/>
      </w:pPr>
      <w:r>
        <w:rPr>
          <w:rFonts w:ascii="Arial" w:cs="Arial" w:eastAsia="Arial" w:hAnsi="Arial"/>
          <w:b/>
          <w:bCs/>
          <w:color w:val="1F4E79"/>
          <w:sz w:val="22"/>
          <w:szCs w:val="22"/>
        </w:rPr>
        <w:t xml:space="preserve">Kết luận: </w:t>
      </w:r>
      <w:r>
        <w:rPr>
          <w:rFonts w:ascii="Arial" w:cs="Arial" w:eastAsia="Arial" w:hAnsi="Arial"/>
          <w:i/>
          <w:iCs/>
          <w:sz w:val="22"/>
          <w:szCs w:val="22"/>
        </w:rPr>
        <w:t xml:space="preserve">Kinh nghiệm quốc tế cho thấy hệ thống TXNG bền vững cần kết hợp giữa pháp lý rõ ràng, chuẩn dữ liệu thống nhất, lộ trình theo rủi ro, doanh nghiệp là trung tâm dữ liệu và nhà nước giữ vai trò định chuẩn – giám sát – thực thi. Đối với Bộ Công Thương, hướng đi phù hợp là nâng cấp VeriGoods++ thành nền tảng TXNG chuyên ngành, kết nối C12/NDOP, áp dụng EPCIS làm lõi dữ liệu, AI làm lớp phân tích rủi ro và blockchain chỉ là lớp kiểm chứng chọn lọc.</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60" w:before="140"/>
      <w:outlineLvl w:val="0"/>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2026-05-05T21:53:06.485Z</dcterms:created>
  <dcterms:modified xsi:type="dcterms:W3CDTF">2026-05-05T21:53:06.485Z</dcterms:modified>
</cp:coreProperties>
</file>

<file path=docProps/custom.xml><?xml version="1.0" encoding="utf-8"?>
<Properties xmlns="http://schemas.openxmlformats.org/officeDocument/2006/custom-properties" xmlns:vt="http://schemas.openxmlformats.org/officeDocument/2006/docPropsVTypes"/>
</file>