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KINH NGHIỆM QUỐC TẾ VÀ ĐỊNH HƯỚNG CÔNG NGHỆ TXNG</w:t>
      </w:r>
    </w:p>
    <w:p>
      <w:pPr>
        <w:spacing w:after="80" w:before="0" w:line="240" w:lineRule="auto"/>
        <w:jc w:val="center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cho Bộ Công Thương Việt Nam</w:t>
      </w:r>
    </w:p>
    <w:p>
      <w:pPr>
        <w:keepNext/>
        <w:pBdr>
          <w:bottom w:val="single" w:color="1F4E79" w:sz="6" w:space="2"/>
        </w:pBdr>
        <w:spacing w:after="44" w:before="100" w:line="220" w:lineRule="auto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Xu hướng triển khai TXNG toàn cầu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2840"/>
        <w:gridCol w:w="2200"/>
        <w:gridCol w:w="3346"/>
      </w:tblGrid>
      <w:tr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Quốc gia/KV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Lộ trình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Chuẩn dữ liệu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Công nghệ chủ đạo</w:t>
            </w:r>
          </w:p>
        </w:tc>
      </w:tr>
      <w:tr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Mỹ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FSMA 2011 → FSMA 204 (2022) → tuân thủ 2028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GS1, EPCIS, KDE/CTE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(risk), QR, blockchain pilot</w:t>
            </w:r>
          </w:p>
        </w:tc>
      </w:tr>
      <w:tr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EU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ESPR/DPP 2024 → bắt buộc theo ngành 2027–2030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GS1 Digital Link, DPP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(ESG/lifecycle), QR/NFC/RFID</w:t>
            </w:r>
          </w:p>
        </w:tc>
      </w:tr>
      <w:tr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Trung Quốc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Từ 2009; QR/digital label từ 2023; thực phẩm, dược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CNDC/GTIN, QR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giám sát, blockchain platform</w:t>
            </w:r>
          </w:p>
        </w:tc>
      </w:tr>
      <w:tr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Nhật/Hàn/Úc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Nhật từ 2004 (BSE); Úc NLIS 2004; Hàn thực phẩm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GS1, RFID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QR, blockchain chứng nhận</w:t>
            </w:r>
          </w:p>
        </w:tc>
      </w:tr>
    </w:tbl>
    <w:p>
      <w:pPr>
        <w:spacing w:after="0" w:before="60" w:line="220" w:lineRule="auto"/>
        <w:jc w:val="both"/>
      </w:pPr>
      <w:r>
        <w:rPr>
          <w:rFonts w:ascii="Arial" w:cs="Arial" w:eastAsia="Arial" w:hAnsi="Arial"/>
          <w:b/>
          <w:bCs/>
          <w:color w:val="2F5597"/>
          <w:sz w:val="18"/>
          <w:szCs w:val="18"/>
        </w:rPr>
        <w:t xml:space="preserve">5 điểm chung: </w:t>
      </w:r>
      <w:r>
        <w:rPr>
          <w:rFonts w:ascii="Arial" w:cs="Arial" w:eastAsia="Arial" w:hAnsi="Arial"/>
          <w:sz w:val="18"/>
          <w:szCs w:val="18"/>
        </w:rPr>
        <w:t xml:space="preserve">(1) Luật hóa risk-based; (2) GS1/EPCIS làm chuẩn; (3) DN là chủ thể dữ liệu, nhà nước giám sát; (4) Lộ trình nhiều giai đoạn (5–20 năm); (5) Tích hợp thị trường và xuất khẩu tạo sức kéo thực chất.</w:t>
      </w:r>
    </w:p>
    <w:p>
      <w:pPr>
        <w:keepNext/>
        <w:pBdr>
          <w:bottom w:val="single" w:color="1F4E79" w:sz="6" w:space="2"/>
        </w:pBdr>
        <w:spacing w:after="44" w:before="100" w:line="220" w:lineRule="auto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AI – Thành phần cốt lõi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66"/>
      </w:tblGrid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36" w:before="0" w:line="21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Vai trò</w:t>
            </w:r>
          </w:p>
          <w:p>
            <w:pPr>
              <w:spacing w:after="0" w:before="0" w:line="218" w:lineRule="auto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Phát hiện bất thường/gian lận/hàng giả trong EPCIS events; dự báo rủi ro thu hồi; giám sát real-time IoT + hành vi quét mã; phân tích chuỗi đa tầng; hỗ trợ ra quyết định vận hành.</w:t>
            </w:r>
          </w:p>
        </w:tc>
        <w:tc>
          <w:tcPr>
            <w:tcW w:type="dxa" w:w="5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4"/>
              <w:left w:type="dxa" w:w="10"/>
              <w:bottom w:type="dxa" w:w="44"/>
              <w:right w:type="dxa" w:w="10"/>
            </w:tcMar>
          </w:tcPr>
          <w:p>
            <w:pPr>
              <w:spacing w:after="36" w:before="0" w:line="218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Mức độ áp dụng quốc tế</w:t>
            </w:r>
          </w:p>
          <w:tbl>
            <w:tblPr>
              <w:tblW w:type="dxa" w:w="50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0"/>
              <w:gridCol w:w="3586"/>
            </w:tblGrid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1F4E79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  <w:vAlign w:val="center"/>
                </w:tcPr>
                <w:p>
                  <w:pPr>
                    <w:spacing w:after="0" w:before="0" w:line="210" w:lineRule="auto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Khu vực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1F4E79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  <w:vAlign w:val="center"/>
                </w:tcPr>
                <w:p>
                  <w:pPr>
                    <w:spacing w:after="0" w:before="0" w:line="210" w:lineRule="auto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Mức độ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Mỹ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Rất cao – FDA, Walmart, cold chain, demand forecasting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EU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Cao – DPP, ESG analytics, product lifecycle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Trung Quốc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Rất cao – giám sát thị trường, phát hiện gian lận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Nhật/Hàn/Úc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Trung bình-cao – quality prediction, recall opt.</w:t>
                  </w:r>
                </w:p>
              </w:tc>
            </w:tr>
          </w:tbl>
          <w:p/>
        </w:tc>
      </w:tr>
    </w:tbl>
    <w:p>
      <w:pPr>
        <w:spacing w:after="0" w:before="44" w:line="218" w:lineRule="auto"/>
        <w:jc w:val="both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→ Kết luận: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AI là công nghệ bắt buộc triển khai trong hệ thống TXNG hiện đại.</w:t>
      </w:r>
    </w:p>
    <w:p>
      <w:pPr>
        <w:keepNext/>
        <w:pBdr>
          <w:bottom w:val="single" w:color="1F4E79" w:sz="6" w:space="2"/>
        </w:pBdr>
        <w:spacing w:after="44" w:before="100" w:line="220" w:lineRule="auto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Blockchain – Lớp kiểm chứng chọn lọc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66"/>
      </w:tblGrid>
      <w:tr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36" w:before="0" w:line="21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Vai trò</w:t>
            </w:r>
          </w:p>
          <w:p>
            <w:pPr>
              <w:spacing w:after="0" w:before="0" w:line="218" w:lineRule="auto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Lưu hash làm bằng chứng dữ liệu; kiểm chứng tính toàn vẹn; cấp/xác minh Verifiable Credential (VC); audit trail đa bên; cơ chế tin cậy trong chuỗi cung ứng. Không dùng làm core storage.</w:t>
            </w:r>
          </w:p>
        </w:tc>
        <w:tc>
          <w:tcPr>
            <w:tcW w:type="dxa" w:w="5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4"/>
              <w:left w:type="dxa" w:w="10"/>
              <w:bottom w:type="dxa" w:w="44"/>
              <w:right w:type="dxa" w:w="10"/>
            </w:tcMar>
          </w:tcPr>
          <w:p>
            <w:pPr>
              <w:spacing w:after="36" w:before="0" w:line="218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Mức độ áp dụng quốc tế</w:t>
            </w:r>
          </w:p>
          <w:tbl>
            <w:tblPr>
              <w:tblW w:type="dxa" w:w="50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0"/>
              <w:gridCol w:w="3586"/>
            </w:tblGrid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1F4E79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  <w:vAlign w:val="center"/>
                </w:tcPr>
                <w:p>
                  <w:pPr>
                    <w:spacing w:after="0" w:before="0" w:line="210" w:lineRule="auto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Khu vực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1F4E79" w:val="clear"/>
                  <w:tcMar>
                    <w:top w:type="dxa" w:w="44"/>
                    <w:left w:type="dxa" w:w="90"/>
                    <w:bottom w:type="dxa" w:w="44"/>
                    <w:right w:type="dxa" w:w="90"/>
                  </w:tcMar>
                  <w:vAlign w:val="center"/>
                </w:tcPr>
                <w:p>
                  <w:pPr>
                    <w:spacing w:after="0" w:before="0" w:line="210" w:lineRule="auto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Mức độ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Mỹ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Thấp-TB – pilot thực phẩm, dược phẩm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EU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Trung bình – DPP certificate, ESG traceability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Trung Quốc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EF3F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Trung bình – platform, consumer trust</w:t>
                  </w:r>
                </w:p>
              </w:tc>
            </w:tr>
            <w:tr>
              <w:tc>
                <w:tcPr>
                  <w:tcW w:type="dxa" w:w="1460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Nhật/Hàn/Úc</w:t>
                  </w:r>
                </w:p>
              </w:tc>
              <w:tc>
                <w:tcPr>
                  <w:tcW w:type="dxa" w:w="35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spacing w:after="0" w:before="0" w:line="210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7"/>
                      <w:szCs w:val="17"/>
                    </w:rPr>
                    <w:t xml:space="preserve">Thấp – chủ yếu chứng nhận, xuất khẩu</w:t>
                  </w:r>
                </w:p>
              </w:tc>
            </w:tr>
          </w:tbl>
          <w:p/>
        </w:tc>
      </w:tr>
    </w:tbl>
    <w:p>
      <w:pPr>
        <w:spacing w:after="0" w:before="44" w:line="218" w:lineRule="auto"/>
        <w:jc w:val="both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→ Kết luận: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Blockchain áp dụng chọn lọc (VC, audit, chứng nhận); không thiết kế theo hướng "blockchain-first".</w:t>
      </w:r>
    </w:p>
    <w:p>
      <w:pPr>
        <w:keepNext/>
        <w:pBdr>
          <w:bottom w:val="single" w:color="1F4E79" w:sz="6" w:space="2"/>
        </w:pBdr>
        <w:spacing w:after="44" w:before="100" w:line="220" w:lineRule="auto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Định hướng cho Bộ Công Thương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14"/>
        <w:gridCol w:w="3952"/>
      </w:tblGrid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Trụ cột</w:t>
            </w:r>
          </w:p>
        </w:tc>
        <w:tc>
          <w:tcPr>
            <w:tcW w:type="dxa" w:w="40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Định hướng</w:t>
            </w:r>
          </w:p>
        </w:tc>
        <w:tc>
          <w:tcPr>
            <w:tcW w:type="dxa" w:w="39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 w:before="0" w:line="21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Công nghệ áp dụng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Kiến trúc dữ liệu</w:t>
            </w:r>
          </w:p>
        </w:tc>
        <w:tc>
          <w:tcPr>
            <w:tcW w:type="dxa" w:w="40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BCA/C12 quản lý định danh–xác thực (UID/DID/PKI); BCT/VeriGoods++ quản lý nghiệp vụ TXNG; DN là chủ thể dữ liệu</w:t>
            </w:r>
          </w:p>
        </w:tc>
        <w:tc>
          <w:tcPr>
            <w:tcW w:type="dxa" w:w="39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EPCIS làm lõi sự kiện; GS1 làm chuẩn định danh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Triển khai</w:t>
            </w:r>
          </w:p>
        </w:tc>
        <w:tc>
          <w:tcPr>
            <w:tcW w:type="dxa" w:w="40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Risk-based: ưu tiên thực phẩm, dược, nông sản xuất khẩu; lộ trình 3–5–10 năm; thí điểm trước khi bắt buộc</w:t>
            </w:r>
          </w:p>
        </w:tc>
        <w:tc>
          <w:tcPr>
            <w:tcW w:type="dxa" w:w="39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API/batch cho SME; QR/GS1 Digital Link có lộ trình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 – Cốt lõi</w:t>
            </w:r>
          </w:p>
        </w:tc>
        <w:tc>
          <w:tcPr>
            <w:tcW w:type="dxa" w:w="40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Phát hiện gian lận, giám sát thị trường, phân tích rủi ro, hỗ trợ QLTT; tích hợp ngay từ thiết kế hệ thống</w:t>
            </w:r>
          </w:p>
        </w:tc>
        <w:tc>
          <w:tcPr>
            <w:tcW w:type="dxa" w:w="39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 Engine, Fraud Detection, Monitoring, Analytics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Blockchain – Chọn lọc</w:t>
            </w:r>
          </w:p>
        </w:tc>
        <w:tc>
          <w:tcPr>
            <w:tcW w:type="dxa" w:w="40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Chứng nhận số, kiểm chứng dữ liệu, audit trail đa bên; không dùng làm core storage hay bắt buộc toàn bộ</w:t>
            </w:r>
          </w:p>
        </w:tc>
        <w:tc>
          <w:tcPr>
            <w:tcW w:type="dxa" w:w="39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Hash proof, VC, audit; tích hợp với C12/NDOP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Thị trường</w:t>
            </w:r>
          </w:p>
        </w:tc>
        <w:tc>
          <w:tcPr>
            <w:tcW w:type="dxa" w:w="401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Yêu cầu sàn TMĐT, siêu thị, chuỗi bán lẻ hiển thị TXNG; tạo sức kéo từ kênh phân phối; campaign NTD</w:t>
            </w:r>
          </w:p>
        </w:tc>
        <w:tc>
          <w:tcPr>
            <w:tcW w:type="dxa" w:w="39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1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Kết nối API với Shopee, Lazada, VinCommerce, Central Retail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FBFBF" w:sz="1"/>
              <w:left w:val="single" w:color="1F4E79" w:sz="10"/>
              <w:bottom w:val="single" w:color="BFBFBF" w:sz="1"/>
              <w:right w:val="none"/>
            </w:tcBorders>
            <w:shd w:fill="E8F4FD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 w:line="21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Kết luận tổng hợp: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Hệ thống TXNG hiệu quả cần chuẩn dữ liệu thống nhất (GS1/EPCIS), DN là trung tâm dữ liệu, AI là lớp vận hành cốt lõi, blockchain chỉ là lớp kiểm chứng bổ trợ. Đối với BCT: nâng cấp VeriGoods++ thành nền tảng chuyên ngành, kết nối C12/NDOP, AI-first cho risk và fraud, blockchain chọn lọc.</w:t>
            </w:r>
          </w:p>
        </w:tc>
      </w:tr>
    </w:tbl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2026-05-05T22:22:23.276Z</dcterms:created>
  <dcterms:modified xsi:type="dcterms:W3CDTF">2026-05-05T22:22:23.276Z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