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5D" w:rsidRDefault="00E2755D" w:rsidP="00E2755D">
      <w:pPr>
        <w:jc w:val="center"/>
        <w:rPr>
          <w:rFonts w:ascii="方正小标宋简体" w:eastAsia="方正小标宋简体"/>
          <w:snapToGrid w:val="0"/>
          <w:kern w:val="0"/>
          <w:sz w:val="44"/>
          <w:szCs w:val="44"/>
        </w:rPr>
      </w:pPr>
      <w:r>
        <w:rPr>
          <w:rFonts w:ascii="方正小标宋简体" w:eastAsia="方正小标宋简体" w:hint="eastAsia"/>
          <w:snapToGrid w:val="0"/>
          <w:kern w:val="0"/>
          <w:sz w:val="44"/>
          <w:szCs w:val="44"/>
        </w:rPr>
        <w:t>成都市水务局行政效能督办制度</w:t>
      </w:r>
    </w:p>
    <w:p w:rsidR="00E2755D" w:rsidRDefault="00E2755D" w:rsidP="00E2755D">
      <w:pPr>
        <w:spacing w:line="420" w:lineRule="exact"/>
        <w:ind w:firstLineChars="196" w:firstLine="627"/>
        <w:rPr>
          <w:rFonts w:ascii="仿宋_GB2312" w:eastAsia="仿宋_GB2312"/>
          <w:snapToGrid w:val="0"/>
          <w:kern w:val="0"/>
          <w:sz w:val="32"/>
          <w:szCs w:val="32"/>
        </w:rPr>
      </w:pP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为进一步提高重点政务工作的办理效率，提高全局的行政效能，根据市委、市政府关于进一步加强行政效能督办工作的要求，确保各项决策和工作部署的贯彻落实，制定本制度。</w:t>
      </w:r>
    </w:p>
    <w:p w:rsidR="00E2755D" w:rsidRDefault="00E2755D" w:rsidP="00E2755D">
      <w:pPr>
        <w:ind w:firstLineChars="196" w:firstLine="627"/>
        <w:rPr>
          <w:rFonts w:ascii="方正黑体简体" w:eastAsia="方正黑体简体" w:hAnsi="宋体" w:cs="宋体"/>
          <w:kern w:val="0"/>
          <w:sz w:val="32"/>
          <w:szCs w:val="32"/>
        </w:rPr>
      </w:pPr>
      <w:r>
        <w:rPr>
          <w:rFonts w:ascii="方正黑体简体" w:eastAsia="方正黑体简体" w:hAnsi="宋体" w:cs="宋体" w:hint="eastAsia"/>
          <w:kern w:val="0"/>
          <w:sz w:val="32"/>
          <w:szCs w:val="32"/>
        </w:rPr>
        <w:t>一、</w:t>
      </w:r>
      <w:r>
        <w:rPr>
          <w:rFonts w:ascii="方正黑体简体" w:eastAsia="方正黑体简体" w:hint="eastAsia"/>
          <w:sz w:val="32"/>
          <w:szCs w:val="32"/>
        </w:rPr>
        <w:t>重点</w:t>
      </w:r>
      <w:r>
        <w:rPr>
          <w:rFonts w:ascii="方正黑体简体" w:eastAsia="方正黑体简体" w:hAnsi="宋体" w:cs="宋体" w:hint="eastAsia"/>
          <w:kern w:val="0"/>
          <w:sz w:val="32"/>
          <w:szCs w:val="32"/>
        </w:rPr>
        <w:t>督办内容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（一）贯彻落实市委、市政府决策、部署和安排的情况；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（二）上级领导和局领导批示交办事项的办理情况；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（三）市长公开电话、市长信箱、96110文明热线、局长信箱，群众来信来访的办理情况；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（四）市水务局局党组会议、局务会议、局长办公会议、局长专题会议议定事项的落实办理情况；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（五）人大代表和政协委员提出的建议、批评、意见和提案的办理落实情况；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（六）主要目标任务特别是民生工程目标任务推进落实情况；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（七）政务公开工作情况；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（八）政务中心行政效能情况。</w:t>
      </w:r>
    </w:p>
    <w:p w:rsidR="00E2755D" w:rsidRDefault="00E2755D" w:rsidP="00E2755D">
      <w:pPr>
        <w:ind w:firstLineChars="196" w:firstLine="627"/>
        <w:rPr>
          <w:rFonts w:ascii="方正黑体简体" w:eastAsia="方正黑体简体" w:hAnsi="宋体" w:cs="宋体"/>
          <w:kern w:val="0"/>
          <w:sz w:val="32"/>
          <w:szCs w:val="32"/>
        </w:rPr>
      </w:pPr>
      <w:r>
        <w:rPr>
          <w:rFonts w:ascii="方正黑体简体" w:eastAsia="方正黑体简体" w:hAnsi="宋体" w:cs="宋体" w:hint="eastAsia"/>
          <w:kern w:val="0"/>
          <w:sz w:val="32"/>
          <w:szCs w:val="32"/>
        </w:rPr>
        <w:t>二、督办任务分工及办理要求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（一）职责分工。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办公室、人事处对重点督办事项按有关规定和职责分工进行登记，载明督办事项内容、主办单位、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lastRenderedPageBreak/>
        <w:t>交办时间、办结时限等，转交有关处室队（单位）负责牵头承办；人事处负责督办局党组会议议定事项的落实办理情况，办公室负责其他重点督办事项的督办；市监察局派驻局监察室负责督办事项的行政效能监察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（二）承办反馈。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承办处室队（单位）要吃透上级领导批示或交办事项及会议议定事项的精神实质和要求，落实承办工作责任，做到快办、快结、快反馈。对一般件应在10个工作日内办结或反馈办理情况和进度；对有明确办理时限的，则按时限要求办理；对工作目标等年度性工作，实行定期和不定期通报。对在时限内不能办结的要说明原因，并报告办理进度和续报办理结果。承办处室队（单位）要填写《成都市水务局督办事项办理工作报告单》并附相关背景资料，反馈办理情况，做到事事有结果、件件有回音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（三）督办通报。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要建立全程督查、及时催办、定期通报和办结销号的机制。采取“口头提醒”、“督办通知”等形式，加大督办工作力度，及时报告督办情况，定期对办理结果或进展情况进行通报。督办事项办结后，各承办处室队（单位）要将办理报告和领导批示整理规范后交办公室或人事处销号。</w:t>
      </w:r>
    </w:p>
    <w:p w:rsidR="00E2755D" w:rsidRDefault="00E2755D" w:rsidP="00E2755D">
      <w:pPr>
        <w:ind w:firstLineChars="196" w:firstLine="627"/>
        <w:rPr>
          <w:rFonts w:ascii="方正黑体简体" w:eastAsia="方正黑体简体" w:hAnsi="宋体" w:cs="宋体"/>
          <w:kern w:val="0"/>
          <w:sz w:val="32"/>
          <w:szCs w:val="32"/>
        </w:rPr>
      </w:pPr>
      <w:r>
        <w:rPr>
          <w:rFonts w:ascii="方正黑体简体" w:eastAsia="方正黑体简体" w:hAnsi="宋体" w:cs="宋体" w:hint="eastAsia"/>
          <w:kern w:val="0"/>
          <w:sz w:val="32"/>
          <w:szCs w:val="32"/>
        </w:rPr>
        <w:t>三、行政效能督办问责办法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仿宋_GBK" w:eastAsia="方正仿宋_GBK" w:hAnsi="宋体" w:cs="宋体" w:hint="eastAsia"/>
          <w:kern w:val="0"/>
          <w:sz w:val="32"/>
          <w:szCs w:val="32"/>
        </w:rPr>
        <w:t>重点对各处室（队）、单位负责办理督办事项的工作开展行政效能监察，实行行政效能问责。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lastRenderedPageBreak/>
        <w:t>（一）诫勉谈话。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对行政效能方面存在的情节轻微的行政责任问题，由分管领导对处室和单位负责人及具体承办人进行诫勉谈话，同时取消年度评优评先资格。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（二）效能告诫。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对诫勉谈话后仍工作不力，影响行政效能，造成工作延误的，对责任人给予效能告诫，并发给《效能告诫书》，当年内被效能告诫两次以上的，年度考核降一个等级。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（三）通报批评。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对无故不按时完成督办事项的责任处室或责任人，定期在局长办公会上通报批评，并责令其作书面检查、整改和限期完成，取消年度评优评先资格，同时年度考核降一个等级。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  <w:r>
        <w:rPr>
          <w:rFonts w:ascii="方正楷体_GBK" w:eastAsia="方正楷体_GBK" w:hAnsi="宋体" w:cs="宋体" w:hint="eastAsia"/>
          <w:kern w:val="0"/>
          <w:sz w:val="32"/>
          <w:szCs w:val="32"/>
        </w:rPr>
        <w:t>（四）责任追究。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t>在办理工作中推诿扯皮、敷衍塞责、效能低下，造成不良影响的；对报送市委、市政府的文件、资料被退回的；对市委、市政府交办的工作受到市领导公开批评或批示性批评的；办理工作失职、工作不力，造成贻误时机、工作损失或恶劣影响的；办理工作超期、延误，影响总体进展、错过时机或造成重大损失、发生重大事故的；督办检查工作弄虚作假、不尽职尽责，造成损失的；以及局领导研究确定需要追究责任的事项，对负有领导责任和承办责任的人员按《成都市行政效能监察办法》实施行政问责。根据情节轻重，给予行政效能告诫或诫勉谈话，责令作出书面检查或公开道歉，通报批评，取消年度评优评先资格，调离</w:t>
      </w:r>
      <w:r>
        <w:rPr>
          <w:rFonts w:ascii="方正仿宋_GBK" w:eastAsia="方正仿宋_GBK" w:hAnsi="宋体" w:cs="宋体" w:hint="eastAsia"/>
          <w:kern w:val="0"/>
          <w:sz w:val="32"/>
          <w:szCs w:val="32"/>
        </w:rPr>
        <w:lastRenderedPageBreak/>
        <w:t>工作岗位，停职检查，免职、降职或责令辞职处理。</w:t>
      </w:r>
    </w:p>
    <w:p w:rsidR="00E2755D" w:rsidRDefault="00E2755D" w:rsidP="00E2755D">
      <w:pPr>
        <w:ind w:firstLineChars="196" w:firstLine="627"/>
        <w:rPr>
          <w:rFonts w:ascii="方正仿宋_GBK" w:eastAsia="方正仿宋_GBK" w:hAnsi="宋体" w:cs="宋体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领导批示督办件办理流程</w:t>
      </w:r>
    </w:p>
    <w:p w:rsidR="00C66DC7" w:rsidRDefault="00C66DC7" w:rsidP="00C66DC7">
      <w:pPr>
        <w:jc w:val="center"/>
        <w:rPr>
          <w:rFonts w:ascii="黑体" w:eastAsia="黑体" w:hint="eastAsia"/>
          <w:sz w:val="44"/>
          <w:szCs w:val="44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  <w:r>
        <w:rPr>
          <w:rFonts w:hint="eastAsi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7pt;margin-top:21.15pt;width:171pt;height:42.3pt;z-index:251660288">
            <v:textbox>
              <w:txbxContent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收文登记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27" type="#_x0000_t202" style="position:absolute;left:0;text-align:left;margin-left:170.7pt;margin-top:88.25pt;width:171pt;height:46.05pt;z-index:251661312">
            <v:textbox>
              <w:txbxContent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送达主要领导或</w:t>
                  </w:r>
                </w:p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 w:hint="eastAsia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有关领导批示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28" type="#_x0000_t202" style="position:absolute;left:0;text-align:left;margin-left:170.7pt;margin-top:162.25pt;width:171pt;height:46.8pt;z-index:251662336">
            <v:textbox>
              <w:txbxContent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有关处室</w:t>
                  </w:r>
                </w:p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 w:hint="eastAsia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或单位办理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29" type="#_x0000_t202" style="position:absolute;left:0;text-align:left;margin-left:176.3pt;margin-top:313.9pt;width:165.75pt;height:46.05pt;z-index:251663360">
            <v:textbox>
              <w:txbxContent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形成报告并</w:t>
                  </w:r>
                </w:p>
                <w:p w:rsidR="00C66DC7" w:rsidRDefault="00C66DC7" w:rsidP="00C66DC7">
                  <w:pPr>
                    <w:spacing w:line="400" w:lineRule="exact"/>
                    <w:jc w:val="center"/>
                    <w:rPr>
                      <w:rFonts w:ascii="仿宋_GB2312" w:eastAsia="仿宋_GB2312" w:hint="eastAsia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送达批示交办领导</w:t>
                  </w:r>
                </w:p>
              </w:txbxContent>
            </v:textbox>
          </v:shape>
        </w:pict>
      </w:r>
      <w:r>
        <w:rPr>
          <w:rFonts w:hint="eastAsia"/>
        </w:rPr>
        <w:pict>
          <v:line id="_x0000_s1030" style="position:absolute;left:0;text-align:left;z-index:251664384" from="256.85pt,62.05pt" to="256.9pt,85.45pt">
            <v:stroke endarrow="block"/>
          </v:line>
        </w:pict>
      </w:r>
      <w:r>
        <w:rPr>
          <w:rFonts w:hint="eastAsia"/>
        </w:rPr>
        <w:pict>
          <v:line id="_x0000_s1031" style="position:absolute;left:0;text-align:left;z-index:251665408" from="258.2pt,131.65pt" to="258.25pt,163.15pt">
            <v:stroke endarrow="block"/>
          </v:line>
        </w:pict>
      </w:r>
      <w:r>
        <w:rPr>
          <w:rFonts w:hint="eastAsia"/>
        </w:rPr>
        <w:pict>
          <v:line id="_x0000_s1032" style="position:absolute;left:0;text-align:left;z-index:251666432" from="257.6pt,290.15pt" to="257.65pt,313.55pt">
            <v:stroke endarrow="block"/>
          </v:line>
        </w:pict>
      </w:r>
      <w:r>
        <w:rPr>
          <w:rFonts w:hint="eastAsia"/>
        </w:rPr>
        <w:pict>
          <v:shape id="_x0000_s1033" type="#_x0000_t202" style="position:absolute;left:0;text-align:left;margin-left:172.2pt;margin-top:241.1pt;width:171pt;height:46.05pt;z-index:251667456">
            <v:textbox>
              <w:txbxContent>
                <w:p w:rsidR="00C66DC7" w:rsidRDefault="00C66DC7" w:rsidP="00C66DC7">
                  <w:pPr>
                    <w:spacing w:line="360" w:lineRule="auto"/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回复办理情况</w:t>
                  </w:r>
                </w:p>
              </w:txbxContent>
            </v:textbox>
          </v:shape>
        </w:pict>
      </w:r>
      <w:r>
        <w:rPr>
          <w:rFonts w:hint="eastAsia"/>
        </w:rPr>
        <w:pict>
          <v:line id="_x0000_s1034" style="position:absolute;left:0;text-align:left;flip:y;z-index:251668480" from="104pt,182.7pt" to="167.95pt,182.8pt">
            <v:stroke endarrow="block"/>
          </v:line>
        </w:pict>
      </w:r>
      <w:r>
        <w:rPr>
          <w:rFonts w:hint="eastAsia"/>
        </w:rPr>
        <w:pict>
          <v:line id="_x0000_s1035" style="position:absolute;left:0;text-align:left;z-index:251669504" from="257.3pt,213.65pt" to="257.35pt,237.05pt">
            <v:stroke endarrow="block"/>
          </v:line>
        </w:pict>
      </w:r>
      <w:r>
        <w:rPr>
          <w:rFonts w:hint="eastAsia"/>
        </w:rPr>
        <w:pict>
          <v:line id="_x0000_s1036" style="position:absolute;left:0;text-align:left;z-index:251670528" from="255.85pt,359.65pt" to="255.9pt,383.05pt">
            <v:stroke endarrow="block"/>
          </v:line>
        </w:pict>
      </w:r>
      <w:r>
        <w:rPr>
          <w:rFonts w:hint="eastAsia"/>
        </w:rPr>
        <w:pict>
          <v:line id="_x0000_s1037" style="position:absolute;left:0;text-align:left;flip:x;z-index:251671552" from="103.65pt,268.8pt" to="169.95pt,268.8pt"/>
        </w:pict>
      </w:r>
      <w:r>
        <w:rPr>
          <w:rFonts w:hint="eastAsia"/>
        </w:rPr>
        <w:pict>
          <v:line id="_x0000_s1038" style="position:absolute;left:0;text-align:left;flip:x y;z-index:251672576" from="102.9pt,182.7pt" to="104pt,269.8pt"/>
        </w:pict>
      </w:r>
      <w:r>
        <w:rPr>
          <w:rFonts w:hint="eastAsia"/>
        </w:rPr>
        <w:pict>
          <v:shape id="_x0000_s1039" type="#_x0000_t202" style="position:absolute;left:0;text-align:left;margin-left:176.8pt;margin-top:384.05pt;width:165.75pt;height:46.05pt;z-index:251673600">
            <v:textbox>
              <w:txbxContent>
                <w:p w:rsidR="00C66DC7" w:rsidRDefault="00C66DC7" w:rsidP="00C66DC7">
                  <w:pPr>
                    <w:jc w:val="center"/>
                    <w:rPr>
                      <w:rFonts w:ascii="仿宋_GB2312" w:eastAsia="仿宋_GB2312"/>
                      <w:sz w:val="32"/>
                      <w:szCs w:val="32"/>
                    </w:rPr>
                  </w:pPr>
                  <w:r>
                    <w:rPr>
                      <w:rFonts w:ascii="仿宋_GB2312" w:eastAsia="仿宋_GB2312" w:hint="eastAsia"/>
                      <w:sz w:val="32"/>
                      <w:szCs w:val="32"/>
                    </w:rPr>
                    <w:t>上报或归档</w:t>
                  </w:r>
                </w:p>
              </w:txbxContent>
            </v:textbox>
          </v:shape>
        </w:pict>
      </w: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jc w:val="center"/>
        <w:rPr>
          <w:rFonts w:ascii="方正小标宋简体" w:eastAsia="方正小标宋简体" w:hint="eastAsia"/>
          <w:sz w:val="32"/>
          <w:szCs w:val="32"/>
        </w:rPr>
      </w:pPr>
    </w:p>
    <w:p w:rsidR="00C66DC7" w:rsidRDefault="00C66DC7" w:rsidP="00C66DC7">
      <w:pPr>
        <w:spacing w:line="400" w:lineRule="exact"/>
        <w:ind w:firstLineChars="588" w:firstLine="1882"/>
        <w:rPr>
          <w:rFonts w:ascii="方正小标宋简体" w:eastAsia="方正小标宋简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未办结的</w:t>
      </w:r>
    </w:p>
    <w:p w:rsidR="00C66DC7" w:rsidRDefault="00C66DC7" w:rsidP="00C66DC7">
      <w:pPr>
        <w:pStyle w:val="2"/>
        <w:jc w:val="center"/>
        <w:rPr>
          <w:rFonts w:ascii="仿宋_GB2312" w:eastAsia="仿宋_GB2312" w:hint="eastAsia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580" w:lineRule="exact"/>
        <w:rPr>
          <w:rFonts w:ascii="仿宋_GB2312" w:eastAsia="仿宋_GB2312" w:hAnsi="宋体" w:cs="宋体" w:hint="eastAsia"/>
          <w:kern w:val="0"/>
          <w:sz w:val="32"/>
          <w:szCs w:val="32"/>
        </w:rPr>
      </w:pPr>
    </w:p>
    <w:p w:rsidR="00C66DC7" w:rsidRDefault="00C66DC7" w:rsidP="00C66DC7">
      <w:pPr>
        <w:spacing w:line="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br w:type="page"/>
      </w:r>
      <w:r>
        <w:rPr>
          <w:rFonts w:ascii="方正小标宋简体" w:eastAsia="方正小标宋简体" w:hint="eastAsia"/>
          <w:sz w:val="44"/>
          <w:szCs w:val="44"/>
        </w:rPr>
        <w:lastRenderedPageBreak/>
        <w:t>成都市水务局督办事项办理工作报告单</w:t>
      </w:r>
    </w:p>
    <w:p w:rsidR="00C66DC7" w:rsidRDefault="00C66DC7" w:rsidP="00C66DC7">
      <w:pPr>
        <w:wordWrap w:val="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成水务督查〔2014〕  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5"/>
        <w:gridCol w:w="1989"/>
        <w:gridCol w:w="828"/>
        <w:gridCol w:w="1547"/>
        <w:gridCol w:w="498"/>
        <w:gridCol w:w="884"/>
        <w:gridCol w:w="1885"/>
      </w:tblGrid>
      <w:tr w:rsidR="00C66DC7" w:rsidTr="001E673C">
        <w:trPr>
          <w:trHeight w:val="735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批示领导</w:t>
            </w:r>
          </w:p>
        </w:tc>
        <w:tc>
          <w:tcPr>
            <w:tcW w:w="2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C7" w:rsidRDefault="00C66DC7" w:rsidP="001E673C">
            <w:pPr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收文时间</w:t>
            </w:r>
          </w:p>
        </w:tc>
        <w:tc>
          <w:tcPr>
            <w:tcW w:w="3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C66DC7" w:rsidTr="001E673C">
        <w:trPr>
          <w:trHeight w:val="85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批示内容</w:t>
            </w:r>
          </w:p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ind w:firstLineChars="196" w:firstLine="549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6DC7" w:rsidTr="001E673C">
        <w:trPr>
          <w:trHeight w:val="751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办理要求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ind w:firstLineChars="196" w:firstLine="549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交办时间</w:t>
            </w: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ind w:firstLineChars="196" w:firstLine="549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办结时限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spacing w:line="0" w:lineRule="atLeast"/>
              <w:ind w:firstLineChars="196" w:firstLine="549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66DC7" w:rsidTr="001E673C">
        <w:trPr>
          <w:trHeight w:val="2784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办</w:t>
            </w:r>
          </w:p>
          <w:p w:rsidR="00C66DC7" w:rsidRDefault="00C66DC7" w:rsidP="001E673C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理</w:t>
            </w:r>
          </w:p>
          <w:p w:rsidR="00C66DC7" w:rsidRDefault="00C66DC7" w:rsidP="001E673C">
            <w:pPr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情</w:t>
            </w:r>
          </w:p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况</w:t>
            </w:r>
          </w:p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DC7" w:rsidRDefault="00C66DC7" w:rsidP="001E673C">
            <w:pPr>
              <w:spacing w:line="460" w:lineRule="exact"/>
              <w:ind w:firstLineChars="207" w:firstLine="580"/>
              <w:rPr>
                <w:rFonts w:ascii="仿宋_GB2312" w:eastAsia="仿宋_GB2312"/>
                <w:sz w:val="28"/>
                <w:szCs w:val="28"/>
              </w:rPr>
            </w:pPr>
          </w:p>
          <w:p w:rsidR="00C66DC7" w:rsidRDefault="00C66DC7" w:rsidP="001E673C">
            <w:pPr>
              <w:spacing w:line="460" w:lineRule="exact"/>
              <w:ind w:firstLineChars="207" w:firstLine="5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C66DC7" w:rsidRDefault="00C66DC7" w:rsidP="001E673C">
            <w:pPr>
              <w:spacing w:line="460" w:lineRule="exact"/>
              <w:ind w:firstLineChars="207" w:firstLine="5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C66DC7" w:rsidRDefault="00C66DC7" w:rsidP="001E673C">
            <w:pPr>
              <w:spacing w:line="460" w:lineRule="exact"/>
              <w:ind w:firstLineChars="207" w:firstLine="5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C66DC7" w:rsidRDefault="00C66DC7" w:rsidP="001E673C">
            <w:pPr>
              <w:spacing w:line="460" w:lineRule="exact"/>
              <w:ind w:firstLineChars="207" w:firstLine="580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C66DC7" w:rsidRDefault="00C66DC7" w:rsidP="001E673C">
            <w:pPr>
              <w:spacing w:line="460" w:lineRule="exact"/>
              <w:ind w:firstLineChars="441" w:firstLine="1411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经办人：       处室负责人：</w:t>
            </w:r>
          </w:p>
          <w:p w:rsidR="00C66DC7" w:rsidRDefault="00C66DC7" w:rsidP="001E673C">
            <w:pPr>
              <w:spacing w:line="460" w:lineRule="exact"/>
              <w:ind w:firstLineChars="1421" w:firstLine="4547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年   月   日</w:t>
            </w:r>
          </w:p>
        </w:tc>
      </w:tr>
      <w:tr w:rsidR="00C66DC7" w:rsidTr="001E673C">
        <w:trPr>
          <w:trHeight w:val="1937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领导批示</w:t>
            </w:r>
          </w:p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C66DC7" w:rsidTr="001E673C">
        <w:trPr>
          <w:trHeight w:val="1368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pStyle w:val="a5"/>
              <w:adjustRightInd w:val="0"/>
              <w:spacing w:line="0" w:lineRule="atLeast"/>
              <w:jc w:val="distribute"/>
              <w:rPr>
                <w:rFonts w:ascii="仿宋_GB2312" w:eastAsia="仿宋_GB2312" w:cs="Times New Roman"/>
                <w:sz w:val="32"/>
                <w:szCs w:val="32"/>
              </w:rPr>
            </w:pPr>
            <w:r>
              <w:rPr>
                <w:rFonts w:ascii="仿宋_GB2312" w:eastAsia="仿宋_GB2312" w:cs="Times New Roman" w:hint="eastAsia"/>
                <w:sz w:val="32"/>
                <w:szCs w:val="32"/>
              </w:rPr>
              <w:t>对办理</w:t>
            </w:r>
          </w:p>
          <w:p w:rsidR="00C66DC7" w:rsidRDefault="00C66DC7" w:rsidP="001E673C">
            <w:pPr>
              <w:pStyle w:val="a5"/>
              <w:adjustRightInd w:val="0"/>
              <w:spacing w:line="0" w:lineRule="atLeast"/>
              <w:jc w:val="distribute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仿宋_GB2312" w:eastAsia="仿宋_GB2312" w:cs="Times New Roman" w:hint="eastAsia"/>
                <w:sz w:val="32"/>
                <w:szCs w:val="32"/>
              </w:rPr>
              <w:t>表示满意程度</w:t>
            </w:r>
          </w:p>
        </w:tc>
        <w:tc>
          <w:tcPr>
            <w:tcW w:w="76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C7" w:rsidRDefault="00C66DC7" w:rsidP="001E673C">
            <w:pPr>
              <w:pStyle w:val="a5"/>
              <w:spacing w:line="0" w:lineRule="atLeast"/>
              <w:ind w:firstLineChars="49" w:firstLine="147"/>
              <w:rPr>
                <w:rFonts w:ascii="仿宋_GB2312" w:eastAsia="仿宋_GB2312" w:hAnsi="宋体" w:cs="宋体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sz w:val="30"/>
                <w:szCs w:val="30"/>
              </w:rPr>
              <w:t>A、满  意（   ）      B、基本满意（   ）</w:t>
            </w:r>
          </w:p>
          <w:p w:rsidR="00C66DC7" w:rsidRDefault="00C66DC7" w:rsidP="001E673C">
            <w:pPr>
              <w:ind w:firstLineChars="49" w:firstLine="147"/>
              <w:rPr>
                <w:rFonts w:ascii="仿宋_GB2312" w:eastAsia="仿宋_GB2312" w:hAnsi="宋体" w:cs="宋体" w:hint="eastAsia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sz w:val="30"/>
                <w:szCs w:val="30"/>
              </w:rPr>
              <w:t xml:space="preserve">C、不满意（   ）      </w:t>
            </w:r>
          </w:p>
          <w:p w:rsidR="00C66DC7" w:rsidRDefault="00C66DC7" w:rsidP="001E673C">
            <w:pPr>
              <w:ind w:firstLineChars="49" w:firstLine="103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注：对办理基本满意的要求进行解释，对办理不满意的要求重新办理</w:t>
            </w:r>
          </w:p>
        </w:tc>
      </w:tr>
    </w:tbl>
    <w:p w:rsidR="00C66DC7" w:rsidRDefault="00C66DC7" w:rsidP="00C66DC7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附件：报市委、市政府办理情况报告（送审稿），领导批示、有关处室（单位）提供的资料或修改意见，其它辅助性材料。</w:t>
      </w:r>
    </w:p>
    <w:p w:rsidR="00C66DC7" w:rsidRDefault="00C66DC7" w:rsidP="00C66DC7">
      <w:pPr>
        <w:spacing w:line="500" w:lineRule="exact"/>
        <w:rPr>
          <w:rFonts w:ascii="方正仿宋_GBK" w:eastAsia="方正仿宋_GBK" w:hint="eastAsia"/>
          <w:sz w:val="32"/>
          <w:szCs w:val="32"/>
        </w:rPr>
      </w:pPr>
    </w:p>
    <w:p w:rsidR="00BA2601" w:rsidRPr="00C66DC7" w:rsidRDefault="00BA2601" w:rsidP="00E2755D"/>
    <w:sectPr w:rsidR="00BA2601" w:rsidRPr="00C66DC7" w:rsidSect="00BA2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BE" w:rsidRDefault="007F7ABE" w:rsidP="00C66DC7">
      <w:r>
        <w:separator/>
      </w:r>
    </w:p>
  </w:endnote>
  <w:endnote w:type="continuationSeparator" w:id="1">
    <w:p w:rsidR="007F7ABE" w:rsidRDefault="007F7ABE" w:rsidP="00C66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方正楷体_GBK">
    <w:altName w:val="宋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BE" w:rsidRDefault="007F7ABE" w:rsidP="00C66DC7">
      <w:r>
        <w:separator/>
      </w:r>
    </w:p>
  </w:footnote>
  <w:footnote w:type="continuationSeparator" w:id="1">
    <w:p w:rsidR="007F7ABE" w:rsidRDefault="007F7ABE" w:rsidP="00C66D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55D"/>
    <w:rsid w:val="007F7ABE"/>
    <w:rsid w:val="00BA2601"/>
    <w:rsid w:val="00C66DC7"/>
    <w:rsid w:val="00D8225C"/>
    <w:rsid w:val="00E2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55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66DC7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D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DC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C66DC7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Plain Text"/>
    <w:basedOn w:val="a"/>
    <w:link w:val="Char1"/>
    <w:rsid w:val="00C66DC7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C66DC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2</cp:revision>
  <dcterms:created xsi:type="dcterms:W3CDTF">2014-08-07T02:15:00Z</dcterms:created>
  <dcterms:modified xsi:type="dcterms:W3CDTF">2014-08-07T02:44:00Z</dcterms:modified>
</cp:coreProperties>
</file>