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DỮ LIỆU VÀ MÔ HÌNH GỢI Ý BẤT ĐỘNG SẢN</w:t>
      </w:r>
    </w:p>
    <w:p>
      <w:pPr>
        <w:pStyle w:val="Subtitle"/>
      </w:pPr>
      <w:r>
        <w:t xml:space="preserve">LakeHouse Nhà Tốt • Giải thích hệ thống và kế hoạch huấn luyện</w:t>
      </w:r>
    </w:p>
    <w:p>
      <w:pPr>
        <w:pStyle w:val="Note"/>
      </w:pPr>
      <w:r>
        <w:t xml:space="preserve">Biên soạn: 24/10/2026 | Cơ sở: ba tài liệu dự án, cập nhật đến 23/10/2026.</w:t>
      </w:r>
    </w:p>
    <w:p>
      <w:pPr>
        <w:pStyle w:val="Normal"/>
      </w:pPr>
      <w:r>
        <w:t xml:space="preserve">Tài liệu gồm hai phần: (1) dữ liệu, nơi lưu trữ, quy trình xử lý và bài toán; (2) mô hình gợi ý, đặc trưng, lý do lựa chọn và kế hoạch huấn luyện, đánh giá. Nội dung được diễn giải từ tài liệu nguồn; không thực hiện lại pipeline hoặc huấn luyện khi biên soạn.</w:t>
      </w:r>
    </w:p>
    <w:p>
      <w:pPr>
        <w:pStyle w:val="Heading1"/>
      </w:pPr>
      <w:r>
        <w:t xml:space="preserve">PHẦN 1. DỮ LIỆU VÀ QUY TRÌNH XỬ LÝ</w:t>
      </w:r>
    </w:p>
    <w:p>
      <w:pPr>
        <w:pStyle w:val="Heading2"/>
      </w:pPr>
      <w:r>
        <w:t xml:space="preserve">1.1. Dữ liệu là gì và được dùng để làm gì?</w:t>
      </w:r>
    </w:p>
    <w:p>
      <w:pPr>
        <w:pStyle w:val="Normal"/>
      </w:pPr>
      <w:r>
        <w:t xml:space="preserve">Nguồn dữ liệu là tin rao bất động sản được thu thập từ API công khai của Nhà Tốt (Chợ Tốt), trong phạm vi TP.HCM theo cấu hình dự án. Dữ liệu bao gồm tin bán và tin cho thuê, với tiêu đề, mô tả, giá rao, diện tích, loại bất động sản, vị trí, số phòng, pháp lý, nội thất và thời gian quan sát.</w:t>
      </w:r>
    </w:p>
    <w:p>
      <w:pPr>
        <w:pStyle w:val="Normal"/>
      </w:pPr>
      <w:r>
        <w:t xml:space="preserve">Một tin có thể được thu thập nhiều lần. Mỗi lần thu thập là một quan sát; lịch sử quan sát giúp phát hiện tin mới, thay đổi giá, cập nhật nội dung hoặc bằng chứng gỡ tin. Một listing_key đại diện cho một tin đăng trong hệ thống, chưa bảo đảm là một bất động sản vật lý duy nhất: nhiều môi giới có thể đăng cùng một căn nhà.</w:t>
      </w:r>
    </w:p>
    <w:p>
      <w:pPr>
        <w:pStyle w:val="Heading2"/>
      </w:pPr>
      <w:r>
        <w:t xml:space="preserve">1.2. Bài toán cần giải quyết</w:t>
      </w:r>
    </w:p>
    <w:p>
      <w:pPr>
        <w:pStyle w:val="Normal"/>
      </w:pPr>
      <w:r>
        <w:t xml:space="preserve">Nền tảng LakeHouse phục vụ phân tích xu hướng giá, nguồn cung và chuẩn bị đặc trưng dự đoán giá bán. Lớp recommendation bổ sung bài toán tìm và xếp hạng các tin phù hợp, với hai cách sử dụng:</w:t>
      </w:r>
    </w:p>
    <w:p>
      <w:pPr>
        <w:pStyle w:val="Heading3"/>
      </w:pPr>
      <w:r>
        <w:t xml:space="preserve">Tin tương tự — similar()</w:t>
      </w:r>
    </w:p>
    <w:p>
      <w:pPr>
        <w:pStyle w:val="Normal"/>
      </w:pPr>
      <w:r>
        <w:t xml:space="preserve">Đầu vào là mã một tin đang có trong catalog. Đầu ra là Top-K tin khác cùng giao dịch, loại bất động sản, tỉnh và kỳ giá; thứ tự phản ánh độ gần về nội dung, giá, diện tích, vị trí, cấu trúc và độ mới.</w:t>
      </w:r>
    </w:p>
    <w:p>
      <w:pPr>
        <w:pStyle w:val="Heading3"/>
      </w:pPr>
      <w:r>
        <w:t xml:space="preserve">Theo nhu cầu — preferences()</w:t>
      </w:r>
    </w:p>
    <w:p>
      <w:pPr>
        <w:pStyle w:val="Normal"/>
      </w:pPr>
      <w:r>
        <w:t xml:space="preserve">Đầu vào là nhu cầu mua/thuê, loại bất động sản, địa phương, ngân sách, diện tích, số phòng và từ khóa. Hệ thống loại các tin không đáp ứng điều kiện bắt buộc, sau đó xếp hạng phần còn lại. Có thể trả ít hơn K hoặc rỗng.</w:t>
      </w:r>
    </w:p>
    <w:p>
      <w:pPr>
        <w:pStyle w:val="Note"/>
      </w:pPr>
      <w:r>
        <w:t xml:space="preserve">Giá trong dữ liệu là giá chào đăng. Mô hình gợi ý dùng giá làm đặc trưng và điều kiện ngân sách; không dự đoán giá giao dịch và chưa học sở thích từ click/save/contact.</w:t>
      </w:r>
    </w:p>
    <w:p>
      <w:pPr>
        <w:pStyle w:val="Heading2"/>
      </w:pPr>
      <w:r>
        <w:t xml:space="preserve">1.3. Dữ liệu để ở đâu và lưu như thế nào?</w:t>
      </w:r>
    </w:p>
    <w:p>
      <w:pPr>
        <w:pStyle w:val="Normal"/>
      </w:pPr>
      <w:r>
        <w:t xml:space="preserve">MinIO là kho lưu trữ đối tượng, giữ dữ liệu chính trong bucket lakehouse. Spark xử lý dữ liệu; dbt định nghĩa các phép biến đổi SQL và kiểm thử; Hive Metastore quản lý tên bảng, schema và vị trí. MySQL của Metastore lưu metadata, không chứa toàn bộ bản ghi của các bảng LakeHouse.</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1500"/>
        <w:gridCol w:w="3900"/>
        <w:gridCol w:w="3960"/>
      </w:tblGrid>
      <w:tr>
        <w:trPr>
          <w:cantSplit/>
          <w:tblHeader/>
        </w:trPr>
        <w:tc>
          <w:tcPr>
            <w:tcW w:w="1500" w:type="dxa"/>
            <w:shd w:fill="F2F4F7"/>
          </w:tcPr>
          <w:p>
            <w:pPr>
              <w:pStyle w:val="TableText"/>
            </w:pPr>
            <w:r>
              <w:rPr>
                <w:b/>
              </w:rPr>
              <w:t>Tầng</w:t>
            </w:r>
          </w:p>
        </w:tc>
        <w:tc>
          <w:tcPr>
            <w:tcW w:w="3900" w:type="dxa"/>
            <w:shd w:fill="F2F4F7"/>
          </w:tcPr>
          <w:p>
            <w:pPr>
              <w:pStyle w:val="TableText"/>
            </w:pPr>
            <w:r>
              <w:rPr>
                <w:b/>
              </w:rPr>
              <w:t>Định dạng / đơn vị dữ liệu</w:t>
            </w:r>
          </w:p>
        </w:tc>
        <w:tc>
          <w:tcPr>
            <w:tcW w:w="3960" w:type="dxa"/>
            <w:shd w:fill="F2F4F7"/>
          </w:tcPr>
          <w:p>
            <w:pPr>
              <w:pStyle w:val="TableText"/>
            </w:pPr>
            <w:r>
              <w:rPr>
                <w:b/>
              </w:rPr>
              <w:t>Mục đích</w:t>
            </w:r>
          </w:p>
        </w:tc>
      </w:tr>
      <w:tr>
        <w:trPr>
          <w:cantSplit/>
        </w:trPr>
        <w:tc>
          <w:tcPr>
            <w:tcW w:w="1500" w:type="dxa"/>
          </w:tcPr>
          <w:p>
            <w:pPr>
              <w:pStyle w:val="TableText"/>
            </w:pPr>
            <w:r>
              <w:t>Landing</w:t>
            </w:r>
          </w:p>
        </w:tc>
        <w:tc>
          <w:tcPr>
            <w:tcW w:w="3900" w:type="dxa"/>
          </w:tcPr>
          <w:p>
            <w:pPr>
              <w:pStyle w:val="TableText"/>
            </w:pPr>
            <w:r>
              <w:t>JSON Lines; mỗi phản hồi crawl</w:t>
            </w:r>
          </w:p>
        </w:tc>
        <w:tc>
          <w:tcPr>
            <w:tcW w:w="3960" w:type="dxa"/>
          </w:tcPr>
          <w:p>
            <w:pPr>
              <w:pStyle w:val="TableText"/>
            </w:pPr>
            <w:r>
              <w:t>Giữ dữ liệu nguồn và lỗi HTTP</w:t>
            </w:r>
          </w:p>
        </w:tc>
      </w:tr>
      <w:tr>
        <w:trPr>
          <w:cantSplit/>
        </w:trPr>
        <w:tc>
          <w:tcPr>
            <w:tcW w:w="1500" w:type="dxa"/>
          </w:tcPr>
          <w:p>
            <w:pPr>
              <w:pStyle w:val="TableText"/>
            </w:pPr>
            <w:r>
              <w:t>Bronze</w:t>
            </w:r>
          </w:p>
        </w:tc>
        <w:tc>
          <w:tcPr>
            <w:tcW w:w="3900" w:type="dxa"/>
          </w:tcPr>
          <w:p>
            <w:pPr>
              <w:pStyle w:val="TableText"/>
            </w:pPr>
            <w:r>
              <w:t>Delta; một tin × snapshot</w:t>
            </w:r>
          </w:p>
        </w:tc>
        <w:tc>
          <w:tcPr>
            <w:tcW w:w="3960" w:type="dxa"/>
          </w:tcPr>
          <w:p>
            <w:pPr>
              <w:pStyle w:val="TableText"/>
            </w:pPr>
            <w:r>
              <w:t>Nạp dữ liệu thô có truy vết</w:t>
            </w:r>
          </w:p>
        </w:tc>
      </w:tr>
      <w:tr>
        <w:trPr>
          <w:cantSplit/>
        </w:trPr>
        <w:tc>
          <w:tcPr>
            <w:tcW w:w="1500" w:type="dxa"/>
          </w:tcPr>
          <w:p>
            <w:pPr>
              <w:pStyle w:val="TableText"/>
            </w:pPr>
            <w:r>
              <w:t>Silver</w:t>
            </w:r>
          </w:p>
        </w:tc>
        <w:tc>
          <w:tcPr>
            <w:tcW w:w="3900" w:type="dxa"/>
          </w:tcPr>
          <w:p>
            <w:pPr>
              <w:pStyle w:val="TableText"/>
            </w:pPr>
            <w:r>
              <w:t>Delta và view; lịch sử / tin mới nhất</w:t>
            </w:r>
          </w:p>
        </w:tc>
        <w:tc>
          <w:tcPr>
            <w:tcW w:w="3960" w:type="dxa"/>
          </w:tcPr>
          <w:p>
            <w:pPr>
              <w:pStyle w:val="TableText"/>
            </w:pPr>
            <w:r>
              <w:t>Chuẩn hóa, kiểm tra, theo dõi thay đổi</w:t>
            </w:r>
          </w:p>
        </w:tc>
      </w:tr>
      <w:tr>
        <w:trPr>
          <w:cantSplit/>
        </w:trPr>
        <w:tc>
          <w:tcPr>
            <w:tcW w:w="1500" w:type="dxa"/>
          </w:tcPr>
          <w:p>
            <w:pPr>
              <w:pStyle w:val="TableText"/>
            </w:pPr>
            <w:r>
              <w:t>Gold</w:t>
            </w:r>
          </w:p>
        </w:tc>
        <w:tc>
          <w:tcPr>
            <w:tcW w:w="3900" w:type="dxa"/>
          </w:tcPr>
          <w:p>
            <w:pPr>
              <w:pStyle w:val="TableText"/>
            </w:pPr>
            <w:r>
              <w:t>Delta; theo grain của từng bảng</w:t>
            </w:r>
          </w:p>
        </w:tc>
        <w:tc>
          <w:tcPr>
            <w:tcW w:w="3960" w:type="dxa"/>
          </w:tcPr>
          <w:p>
            <w:pPr>
              <w:pStyle w:val="TableText"/>
            </w:pPr>
            <w:r>
              <w:t>Phân tích nghiệp vụ và đặc trưng ML</w:t>
            </w:r>
          </w:p>
        </w:tc>
      </w:tr>
      <w:tr>
        <w:trPr>
          <w:cantSplit/>
        </w:trPr>
        <w:tc>
          <w:tcPr>
            <w:tcW w:w="1500" w:type="dxa"/>
          </w:tcPr>
          <w:p>
            <w:pPr>
              <w:pStyle w:val="TableText"/>
            </w:pPr>
            <w:r>
              <w:t>Export / model</w:t>
            </w:r>
          </w:p>
        </w:tc>
        <w:tc>
          <w:tcPr>
            <w:tcW w:w="3900" w:type="dxa"/>
          </w:tcPr>
          <w:p>
            <w:pPr>
              <w:pStyle w:val="TableText"/>
            </w:pPr>
            <w:r>
              <w:t>Parquet, JSON, NPZ, Joblib local</w:t>
            </w:r>
          </w:p>
        </w:tc>
        <w:tc>
          <w:tcPr>
            <w:tcW w:w="3960" w:type="dxa"/>
          </w:tcPr>
          <w:p>
            <w:pPr>
              <w:pStyle w:val="TableText"/>
            </w:pPr>
            <w:r>
              <w:t>Đóng băng dữ liệu và phục vụ gợi ý</w:t>
            </w:r>
          </w:p>
        </w:tc>
      </w:tr>
    </w:tbl>
    <w:p>
      <w:pPr>
        <w:pStyle w:val="Heading2"/>
      </w:pPr>
      <w:r>
        <w:t xml:space="preserve">Các đường dẫn chính</w:t>
      </w:r>
    </w:p>
    <w:p>
      <w:pPr>
        <w:pStyle w:val="Heading3"/>
      </w:pPr>
      <w:r>
        <w:t xml:space="preserve">Landing — dữ liệu chi tiết từ crawler</w:t>
      </w:r>
    </w:p>
    <w:p>
      <w:pPr>
        <w:pStyle w:val="Code"/>
      </w:pPr>
      <w:r>
        <w:t xml:space="preserve">s3a://lakehouse/landing/source=nhatot/crawl_date=YYYY-MM-DD/run_id=…/</w:t>
      </w:r>
    </w:p>
    <w:p>
      <w:pPr>
        <w:pStyle w:val="Normal"/>
      </w:pPr>
      <w:r>
        <w:t xml:space="preserve">File part-* chứa envelope gồm nguồn, ID tin, snapshot, thời gian crawl, trạng thái HTTP, lỗi và payload gốc. Danh sách ID được lưu ở vùng landing/source=nhatot_ids.</w:t>
      </w:r>
    </w:p>
    <w:p>
      <w:pPr>
        <w:pStyle w:val="Heading3"/>
      </w:pPr>
      <w:r>
        <w:t xml:space="preserve">Bronze — bảng bronze.raw_properties</w:t>
      </w:r>
    </w:p>
    <w:p>
      <w:pPr>
        <w:pStyle w:val="Code"/>
      </w:pPr>
      <w:r>
        <w:t xml:space="preserve">s3a://lakehouse/bronze/source=nhatot/raw_properties</w:t>
      </w:r>
    </w:p>
    <w:p>
      <w:pPr>
        <w:pStyle w:val="Normal"/>
      </w:pPr>
      <w:r>
        <w:t xml:space="preserve">Lưu Delta và partition theo crawl_date. Delta gồm các file dữ liệu Parquet cùng nhật ký giao dịch _delta_log; nhật ký xác định file nào còn hiệu lực ở từng phiên bản.</w:t>
      </w:r>
    </w:p>
    <w:p>
      <w:pPr>
        <w:pStyle w:val="Heading3"/>
      </w:pPr>
      <w:r>
        <w:t xml:space="preserve">Silver — trạng thái sạch mới nhất</w:t>
      </w:r>
    </w:p>
    <w:p>
      <w:pPr>
        <w:pStyle w:val="Code"/>
      </w:pPr>
      <w:r>
        <w:t xml:space="preserve">s3://lakehouse/warehouse/silver.db/listing_current</w:t>
      </w:r>
    </w:p>
    <w:p>
      <w:pPr>
        <w:pStyle w:val="Normal"/>
      </w:pPr>
      <w:r>
        <w:t xml:space="preserve">Bảng silver.listing_current giữ quan sát hợp lệ mới nhất của mỗi tin. silver.int_listing_removals cung cấp thời điểm và căn cứ gỡ tin để Gold kiểm tra trạng thái.</w:t>
      </w:r>
    </w:p>
    <w:p>
      <w:pPr>
        <w:pStyle w:val="Heading3"/>
      </w:pPr>
      <w:r>
        <w:t xml:space="preserve">Gold — đặc trưng cho mô hình gợi ý</w:t>
      </w:r>
    </w:p>
    <w:p>
      <w:pPr>
        <w:pStyle w:val="Code"/>
      </w:pPr>
      <w:r>
        <w:t xml:space="preserve">s3://lakehouse/warehouse/gold.db/ml_recommendation_features</w:t>
      </w:r>
    </w:p>
    <w:p>
      <w:pPr>
        <w:pStyle w:val="Normal"/>
      </w:pPr>
      <w:r>
        <w:t xml:space="preserve">Bảng gold.ml_recommendation_features lưu Delta, partition theo transaction_type (sale/rent), một dòng trên một listing_key. Dữ liệu export và mô hình được lưu riêng ở artifacts/recommendation/ tại thư mục gốc repository.</w:t>
      </w:r>
    </w:p>
    <w:p>
      <w:pPr>
        <w:pStyle w:val="Note"/>
      </w:pPr>
      <w:r>
        <w:t xml:space="preserve">s3:// và s3a:// ở đây cùng trỏ tới object storage MinIO; s3a là cách Spark truy cập. Đường dẫn artifacts/... là đường dẫn local, không phải bảng Delta và không tự đồng nghĩa với MLflow Registry.</w:t>
      </w:r>
    </w:p>
    <w:p>
      <w:pPr>
        <w:pStyle w:val="Heading2"/>
      </w:pPr>
      <w:r>
        <w:t xml:space="preserve">1.4. Quy trình từ thu thập đến dữ liệu sạch</w:t>
      </w:r>
    </w:p>
    <w:p>
      <w:pPr>
        <w:pStyle w:val="Normal"/>
      </w:pPr>
      <w:r>
        <w:t xml:space="preserve">Airflow điều phối DAG end_to_end_lakehouse_pipeline theo lịch hằng ngày. Chuỗi xử lý chính: crawl ID → crawl chi tiết → nạp Bronze → xây và kiểm thử Silver → xây và kiểm thử Gold.</w:t>
      </w:r>
    </w:p>
    <w:p>
      <w:pPr>
        <w:pStyle w:val="Heading3"/>
      </w:pPr>
      <w:r>
        <w:t xml:space="preserve">Bước 1 — Thu thập ID và nội dung chi tiết</w:t>
      </w:r>
    </w:p>
    <w:p>
      <w:pPr>
        <w:pStyle w:val="Normal"/>
      </w:pPr>
      <w:r>
        <w:t xml:space="preserve">Crawler lấy danh sách ID theo phạm vi được cấu hình, sau đó tải chi tiết các tin mới cùng các ID lịch sử cần theo dõi. Crawl lại tin cũ giúp nhận biết thay đổi giá và trạng thái. Mọi kết quả, kể cả HTTP lỗi với payload rỗng, đều được ghi vào Landing để truy vết và xử lý lại.</w:t>
      </w:r>
    </w:p>
    <w:p>
      <w:pPr>
        <w:pStyle w:val="Heading3"/>
      </w:pPr>
      <w:r>
        <w:t xml:space="preserve">Bước 2 — Nạp Bronze, tránh trùng lần crawl</w:t>
      </w:r>
    </w:p>
    <w:p>
      <w:pPr>
        <w:pStyle w:val="Normal"/>
      </w:pPr>
      <w:r>
        <w:t xml:space="preserve">Spark đọc JSON từ Landing, kiểm tra ID tin và thời gian crawl, ép kiểu kỹ thuật, bổ sung cột thiếu và gắn _source_file, _ingested_at. Dữ liệu được loại trùng theo (source, source_listing_id, snapshot_id) trước khi MERGE vào bronze.raw_properties. Nạp lại cùng run không tạo thêm quan sát trùng theo khóa này.</w:t>
      </w:r>
    </w:p>
    <w:p>
      <w:pPr>
        <w:pStyle w:val="Heading3"/>
      </w:pPr>
      <w:r>
        <w:t xml:space="preserve">Bước 3 — Chuẩn hóa và kiểm tra chất lượng ở Silver</w:t>
      </w:r>
    </w:p>
    <w:p>
      <w:pPr>
        <w:pStyle w:val="Normal"/>
      </w:pPr>
      <w:r>
        <w:t xml:space="preserve">stg_nhatot_properties trích xuất các trường từ payload: giá, diện tích, vị trí, số phòng, pháp lý, dự án và thời gian. Mỗi quan sát có observation_id và các cờ chất lượng. Những lỗi như thiếu giá, diện tích không hợp lệ hoặc sai vị trí được lưu thành quality_errors; quan sát không hợp lệ vào listing_quarantine để điều tra thay vì bị xóa mất.</w:t>
      </w:r>
    </w:p>
    <w:p>
      <w:pPr>
        <w:pStyle w:val="Heading3"/>
      </w:pPr>
      <w:r>
        <w:t xml:space="preserve">Bước 4 — Lưu lịch sử và chọn bản mới nhất</w:t>
      </w:r>
    </w:p>
    <w:p>
      <w:pPr>
        <w:pStyle w:val="Normal"/>
      </w:pPr>
      <w:r>
        <w:t xml:space="preserve">int_listing_changes dùng quan sát hợp lệ và so sánh theo thời gian để xác định NEW, PRICE_CHANGED, UPDATED hoặc UNCHANGED. listing_history là view lịch sử; listing_current chọn bản hợp lệ mới nhất của mỗi listing_key. Vì thế, lịch sử nhiều dòng và catalog một dòng mỗi tin phục vụ hai mục đích khác nhau.</w:t>
      </w:r>
    </w:p>
    <w:p>
      <w:pPr>
        <w:pStyle w:val="Heading3"/>
      </w:pPr>
      <w:r>
        <w:t xml:space="preserve">Bước 5 — Xác định bằng chứng gỡ tin</w:t>
      </w:r>
    </w:p>
    <w:p>
      <w:pPr>
        <w:pStyle w:val="Normal"/>
      </w:pPr>
      <w:r>
        <w:t xml:space="preserve">int_crawl_snapshots tổng hợp độ đầy đủ của mỗi lần crawl. int_listing_removals xác định mốc gỡ theo phản hồi 404/410 hoặc việc vắng mặt ở snapshot đầy đủ kế tiếp sau lần cuối online. Lỗi tạm thời như 429/5xx không tự động đồng nghĩa tin đã bị gỡ.</w:t>
      </w:r>
    </w:p>
    <w:p>
      <w:pPr>
        <w:pStyle w:val="Heading3"/>
      </w:pPr>
      <w:r>
        <w:t xml:space="preserve">Bước 6 — Tạo Gold theo bài toán</w:t>
      </w:r>
    </w:p>
    <w:p>
      <w:pPr>
        <w:pStyle w:val="Normal"/>
      </w:pPr>
      <w:r>
        <w:t xml:space="preserve">Gold có các dimension, fact và mart phục vụ phân tích; ml_price_features phục vụ bài toán giá bán, còn ml_recommendation_features là đầu vào riêng cho gợi ý. Superset đọc dữ liệu phân tích qua Spark Thrift Server. Recommendation tiếp tục export snapshot rồi fit mô hình bằng Python.</w:t>
      </w:r>
    </w:p>
    <w:p>
      <w:pPr>
        <w:pStyle w:val="Note"/>
      </w:pPr>
      <w:r>
        <w:t xml:space="preserve">Tin bị gỡ không chứng minh bất động sản đã bán hoặc đã cho thuê. last_seen_at chỉ là lần cuối quan sát, không đủ để xác nhận tin hiện còn hoạt động.</w:t>
      </w:r>
    </w:p>
    <w:p>
      <w:pPr>
        <w:pStyle w:val="Heading2"/>
      </w:pPr>
      <w:r>
        <w:t xml:space="preserve">1.5. Gold cho recommendation được tạo ra sao?</w:t>
      </w:r>
    </w:p>
    <w:p>
      <w:pPr>
        <w:pStyle w:val="Normal"/>
      </w:pPr>
      <w:r>
        <w:t xml:space="preserve">Gold đọc silver.listing_current, chỉ giữ hai giao dịch sale/rent và join bằng chứng gỡ từ silver.int_listing_removals. Bảng được xây lại dạng table để cập nhật cả trạng thái bị gỡ và xuất hiện lại; các dòng chưa đủ điều kiện vẫn được giữ để kiểm tra.</w:t>
      </w:r>
    </w:p>
    <w:p>
      <w:pPr>
        <w:pStyle w:val="Heading3"/>
      </w:pPr>
      <w:r>
        <w:t xml:space="preserve">Chuẩn hóa thuộc tính và kỳ giá</w:t>
      </w:r>
    </w:p>
    <w:p>
      <w:pPr>
        <w:pStyle w:val="Normal"/>
      </w:pPr>
      <w:r>
        <w:t xml:space="preserve">Loại bất động sản được ánh xạ về HOUSE, APARTMENT, LAND, ROOM, COMMERCIAL hoặc OTHER. Sale dùng tổng giá bán với price_period=total. Rent có month, day, year hoặc unknown; không tự chuyển đổi giữa các kỳ và không lấy tiền cọc thay giá thuê. Khi kỳ giá chưa rõ, không áp dụng so sánh ngân sách hoặc điểm giá bằng số.</w:t>
      </w:r>
    </w:p>
    <w:p>
      <w:pPr>
        <w:pStyle w:val="Heading3"/>
      </w:pPr>
      <w:r>
        <w:t xml:space="preserve">Tổng hợp nội dung và kiểm soát vị trí</w:t>
      </w:r>
    </w:p>
    <w:p>
      <w:pPr>
        <w:pStyle w:val="Normal"/>
      </w:pPr>
      <w:r>
        <w:t xml:space="preserve">content_text ghép tiêu đề, mô tả, subtype, dự án, pháp lý, nội thất, hướng và một số thuộc tính như mặt tiền/hẻm xe hơi. location_trusted phản ánh chất lượng vị trí; tọa độ không đáng tin không được dùng như khoảng cách chính xác. Việc so khớp hành chính phải xét đồng thời cấp cha để tránh trùng mã huyện ở tỉnh khác.</w:t>
      </w:r>
    </w:p>
    <w:p>
      <w:pPr>
        <w:pStyle w:val="Heading3"/>
      </w:pPr>
      <w:r>
        <w:t xml:space="preserve">Cờ được phép gợi ý và nhóm trùng</w:t>
      </w:r>
    </w:p>
    <w:p>
      <w:pPr>
        <w:pStyle w:val="Normal"/>
      </w:pPr>
      <w:r>
        <w:t xml:space="preserve">is_recommendable kết hợp chất lượng thị trường, giá/diện tích dương, thời gian hợp lệ, trạng thái nguồn được chấp nhận và việc không có bằng chứng gỡ. Mapping hiện được mô tả cho Nhà Tốt, gồm active đi kèm accepted hoặc shop_accepted. duplicate_group gom các tin trùng nội dung theo quy tắc bảo thủ; chưa phải nhận dạng hoàn chỉnh cùng một căn nhà giữa nhiều môi giới.</w:t>
      </w:r>
    </w:p>
    <w:p>
      <w:pPr>
        <w:pStyle w:val="Heading2"/>
      </w:pPr>
      <w:r>
        <w:t xml:space="preserve">1.6. Từ Gold sang tập dữ liệu huấn luyện</w:t>
      </w:r>
    </w:p>
    <w:p>
      <w:pPr>
        <w:pStyle w:val="Normal"/>
      </w:pPr>
      <w:r>
        <w:t xml:space="preserve">Exporter chọn một Delta version, replay nhật ký add/remove và chỉ đọc các file còn hiệu lực; không quét toàn bộ Parquet vì có thể lẫn file cũ sau MERGE. Export tạo catalog.parquet và snapshot.json, ghi table ID, Delta version, thời điểm, số dòng và SHA-256 để tái lập.</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7200"/>
        <w:gridCol w:w="2160"/>
      </w:tblGrid>
      <w:tr>
        <w:trPr>
          <w:cantSplit/>
          <w:tblHeader/>
        </w:trPr>
        <w:tc>
          <w:tcPr>
            <w:tcW w:w="7200" w:type="dxa"/>
            <w:shd w:fill="F2F4F7"/>
          </w:tcPr>
          <w:p>
            <w:pPr>
              <w:pStyle w:val="TableText"/>
            </w:pPr>
            <w:r>
              <w:rPr>
                <w:b/>
              </w:rPr>
              <w:t>Mốc dữ liệu ngày 23/10/2026</w:t>
            </w:r>
          </w:p>
        </w:tc>
        <w:tc>
          <w:tcPr>
            <w:tcW w:w="2160" w:type="dxa"/>
            <w:shd w:fill="F2F4F7"/>
          </w:tcPr>
          <w:p>
            <w:pPr>
              <w:pStyle w:val="TableText"/>
            </w:pPr>
            <w:r>
              <w:rPr>
                <w:b/>
              </w:rPr>
              <w:t>Số tin</w:t>
            </w:r>
          </w:p>
        </w:tc>
      </w:tr>
      <w:tr>
        <w:trPr>
          <w:cantSplit/>
        </w:trPr>
        <w:tc>
          <w:tcPr>
            <w:tcW w:w="7200" w:type="dxa"/>
          </w:tcPr>
          <w:p>
            <w:pPr>
              <w:pStyle w:val="TableText"/>
            </w:pPr>
            <w:r>
              <w:t>Gold Delta v0 — 18 file còn hiệu lực</w:t>
            </w:r>
          </w:p>
        </w:tc>
        <w:tc>
          <w:tcPr>
            <w:tcW w:w="2160" w:type="dxa"/>
          </w:tcPr>
          <w:p>
            <w:pPr>
              <w:pStyle w:val="TableText"/>
            </w:pPr>
            <w:r>
              <w:t>155.623</w:t>
            </w:r>
          </w:p>
        </w:tc>
      </w:tr>
      <w:tr>
        <w:trPr>
          <w:cantSplit/>
        </w:trPr>
        <w:tc>
          <w:tcPr>
            <w:tcW w:w="7200" w:type="dxa"/>
          </w:tcPr>
          <w:p>
            <w:pPr>
              <w:pStyle w:val="TableText"/>
            </w:pPr>
            <w:r>
              <w:t>Đủ điều kiện tại as_of, tuổi tin tối đa 90 ngày</w:t>
            </w:r>
          </w:p>
        </w:tc>
        <w:tc>
          <w:tcPr>
            <w:tcW w:w="2160" w:type="dxa"/>
          </w:tcPr>
          <w:p>
            <w:pPr>
              <w:pStyle w:val="TableText"/>
            </w:pPr>
            <w:r>
              <w:t>64.612</w:t>
            </w:r>
          </w:p>
        </w:tc>
      </w:tr>
      <w:tr>
        <w:trPr>
          <w:cantSplit/>
        </w:trPr>
        <w:tc>
          <w:tcPr>
            <w:tcW w:w="7200" w:type="dxa"/>
          </w:tcPr>
          <w:p>
            <w:pPr>
              <w:pStyle w:val="TableText"/>
            </w:pPr>
            <w:r>
              <w:t>Trong đó sale / rent</w:t>
            </w:r>
          </w:p>
        </w:tc>
        <w:tc>
          <w:tcPr>
            <w:tcW w:w="2160" w:type="dxa"/>
          </w:tcPr>
          <w:p>
            <w:pPr>
              <w:pStyle w:val="TableText"/>
            </w:pPr>
            <w:r>
              <w:t>24.488 / 40.124</w:t>
            </w:r>
          </w:p>
        </w:tc>
      </w:tr>
      <w:tr>
        <w:trPr>
          <w:cantSplit/>
        </w:trPr>
        <w:tc>
          <w:tcPr>
            <w:tcW w:w="7200" w:type="dxa"/>
          </w:tcPr>
          <w:p>
            <w:pPr>
              <w:pStyle w:val="TableText"/>
            </w:pPr>
            <w:r>
              <w:t>Không được chọn ở thời điểm này</w:t>
            </w:r>
          </w:p>
        </w:tc>
        <w:tc>
          <w:tcPr>
            <w:tcW w:w="2160" w:type="dxa"/>
          </w:tcPr>
          <w:p>
            <w:pPr>
              <w:pStyle w:val="TableText"/>
            </w:pPr>
            <w:r>
              <w:t>91.011</w:t>
            </w:r>
          </w:p>
        </w:tc>
      </w:tr>
    </w:tbl>
    <w:p>
      <w:pPr>
        <w:pStyle w:val="Citation"/>
      </w:pPr>
      <w:r>
        <w:t xml:space="preserve">Nguồn: [2], [3]; as_of = 2026-10-23T04:55:03Z (11:55:03 giờ Việt Nam).</w:t>
      </w:r>
    </w:p>
    <w:p>
      <w:pPr>
        <w:pStyle w:val="Note"/>
      </w:pPr>
      <w:r>
        <w:t xml:space="preserve">91.011 tin không được chọn là tổng kết quả của các điều kiện lọc, không phải số tin đã giao dịch. Snapshot là dữ liệu cố định của một thời điểm, không phải số liệu hiện tại được kiểm tra lại.</w:t>
      </w:r>
    </w:p>
    <w:p>
      <w:pPr>
        <w:spacing w:before="0" w:after="0"/>
      </w:pPr>
      <w:r>
        <w:br w:type="page"/>
      </w:r>
    </w:p>
    <w:p>
      <w:pPr>
        <w:pStyle w:val="Heading1"/>
      </w:pPr>
      <w:r>
        <w:t xml:space="preserve">PHẦN 2. MÔ HÌNH GỢI Ý VÀ KẾ HOẠCH HUẤN LUYỆN</w:t>
      </w:r>
    </w:p>
    <w:p>
      <w:pPr>
        <w:pStyle w:val="Heading2"/>
      </w:pPr>
      <w:r>
        <w:t xml:space="preserve">2.1. Mô hình đang sử dụng</w:t>
      </w:r>
    </w:p>
    <w:p>
      <w:pPr>
        <w:pStyle w:val="Normal"/>
      </w:pPr>
      <w:r>
        <w:t xml:space="preserve">Phiên bản hiện tại là mô hình gợi ý dựa trên nội dung (content-based recommendation), kết hợp TF-IDF ký tự, cosine similarity và điểm thuộc tính có trọng số. Bộ lọc nghiệp vụ được áp dụng trước để xác định ứng viên hợp lệ; điểm tổng hợp quyết định thứ tự trong các ứng viên đó.</w:t>
      </w:r>
    </w:p>
    <w:p>
      <w:pPr>
        <w:pStyle w:val="Heading3"/>
      </w:pPr>
      <w:r>
        <w:t xml:space="preserve">TF-IDF học cách biểu diễn nội dung</w:t>
      </w:r>
    </w:p>
    <w:p>
      <w:pPr>
        <w:pStyle w:val="Normal"/>
      </w:pPr>
      <w:r>
        <w:t xml:space="preserve">Mỗi tin được biến đổi thành vector thưa. TF phản ánh mức xuất hiện của đặc trưng trong tin; IDF giảm trọng số những đặc trưng xuất hiện phổ biến trên nhiều tin. Nhờ vậy, các cụm mang thông tin phân biệt có thể đóng góp nhiều hơn các mẫu lặp phổ biến. char_wb tạo n-gram ký tự trong biên từ, với độ dài 3–5.</w:t>
      </w:r>
    </w:p>
    <w:p>
      <w:pPr>
        <w:pStyle w:val="Heading3"/>
      </w:pPr>
      <w:r>
        <w:t xml:space="preserve">Cosine đo mức giống nhau về văn bản</w:t>
      </w:r>
    </w:p>
    <w:p>
      <w:pPr>
        <w:pStyle w:val="Normal"/>
      </w:pPr>
      <w:r>
        <w:t xml:space="preserve">Sau chuẩn hóa L2, tích vô hướng giữa hai vector cho điểm cosine. Tin có nhiều đặc trưng văn bản trùng nhau sẽ có điểm nội dung cao hơn. Điểm này sau đó kết hợp với độ gần về giá, diện tích, vị trí, cấu trúc và độ mới; không dùng văn bản làm tín hiệu duy nhất.</w:t>
      </w:r>
    </w:p>
    <w:p>
      <w:pPr>
        <w:pStyle w:val="Heading2"/>
      </w:pPr>
      <w:r>
        <w:t xml:space="preserve">2.2. Vì sao lựa chọn mô hình này?</w:t>
      </w:r>
    </w:p>
    <w:p>
      <w:pPr>
        <w:pStyle w:val="Normal"/>
      </w:pPr>
      <w:r>
        <w:t xml:space="preserve">Thứ nhất, dữ liệu hiện có giàu nội dung và thuộc tính tin nhưng chưa có lịch sử impression/click/save/contact của người dùng. Content-based có thể hoạt động ngay từ catalog; collaborative filtering cần dữ liệu tương tác mà dự án chưa có, và không nên thay bằng nhãn tương tác giả.</w:t>
      </w:r>
    </w:p>
    <w:p>
      <w:pPr>
        <w:pStyle w:val="Normal"/>
      </w:pPr>
      <w:r>
        <w:t xml:space="preserve">Thứ hai, TF-IDF ký tự là một baseline thực dụng cho văn bản tin rao có cách viết không đồng nhất. N-gram giúp so khớp các đoạn chuỗi nhỏ mà không đòi hỏi bộ tách từ tiếng Việt riêng. Hàm chuẩn hóa chung cho tin và query xử lý chữ thường, Unicode, dấu tiếng Việt và khoảng trắng. Đây là lý do kỹ thuật để chọn thử, chưa phải bằng chứng TF-IDF tốt nhất trên dữ liệu này.</w:t>
      </w:r>
    </w:p>
    <w:p>
      <w:pPr>
        <w:pStyle w:val="Normal"/>
      </w:pPr>
      <w:r>
        <w:t xml:space="preserve">Thứ ba, ma trận sparse float32 và việc không tạo bảng tương đồng N×N giúp kiểm soát tài nguyên. Hai thị trường được fit tuần tự. Các thành phần điểm có thể giải thích cho người đọc, đồng thời ngân sách, loại bất động sản và kỳ giá được giữ thành ràng buộc rõ ràng.</w:t>
      </w:r>
    </w:p>
    <w:p>
      <w:pPr>
        <w:pStyle w:val="Normal"/>
      </w:pPr>
      <w:r>
        <w:t xml:space="preserve">Thứ tư, sale và rent có ngôn ngữ, mức giá và kỳ giá khác nhau. Dự án dùng hai vocabulary, hai tập IDF và hai chỉ mục riêng; cùng thuật toán nhưng fit độc lập, không gợi ý chéo mua/thuê.</w:t>
      </w:r>
    </w:p>
    <w:p>
      <w:pPr>
        <w:pStyle w:val="Note"/>
      </w:pPr>
      <w:r>
        <w:t xml:space="preserve">Giới hạn: TF-IDF phản ánh tương đồng chuỗi ký tự, chưa hiểu đầy đủ ngữ nghĩa hoặc phủ định. Từ khóa “gần trường học” không tự xác minh khoảng cách tới trường; embedding là phương án đối chứng tương lai, chưa có kết quả để khẳng định tốt hơn.</w:t>
      </w:r>
    </w:p>
    <w:p>
      <w:pPr>
        <w:pStyle w:val="Heading2"/>
      </w:pPr>
      <w:r>
        <w:t xml:space="preserve">2.3. Mô hình dùng những đặc trưng nào?</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1900"/>
        <w:gridCol w:w="3400"/>
        <w:gridCol w:w="4060"/>
      </w:tblGrid>
      <w:tr>
        <w:trPr>
          <w:cantSplit/>
          <w:tblHeader/>
        </w:trPr>
        <w:tc>
          <w:tcPr>
            <w:tcW w:w="1900" w:type="dxa"/>
            <w:shd w:fill="F2F4F7"/>
          </w:tcPr>
          <w:p>
            <w:pPr>
              <w:pStyle w:val="TableText"/>
            </w:pPr>
            <w:r>
              <w:rPr>
                <w:b/>
              </w:rPr>
              <w:t>Nhóm đặc trưng</w:t>
            </w:r>
          </w:p>
        </w:tc>
        <w:tc>
          <w:tcPr>
            <w:tcW w:w="3400" w:type="dxa"/>
            <w:shd w:fill="F2F4F7"/>
          </w:tcPr>
          <w:p>
            <w:pPr>
              <w:pStyle w:val="TableText"/>
            </w:pPr>
            <w:r>
              <w:rPr>
                <w:b/>
              </w:rPr>
              <w:t>Cột tiêu biểu</w:t>
            </w:r>
          </w:p>
        </w:tc>
        <w:tc>
          <w:tcPr>
            <w:tcW w:w="4060" w:type="dxa"/>
            <w:shd w:fill="F2F4F7"/>
          </w:tcPr>
          <w:p>
            <w:pPr>
              <w:pStyle w:val="TableText"/>
            </w:pPr>
            <w:r>
              <w:rPr>
                <w:b/>
              </w:rPr>
              <w:t>Vai trò hiện tại</w:t>
            </w:r>
          </w:p>
        </w:tc>
      </w:tr>
      <w:tr>
        <w:trPr>
          <w:cantSplit/>
        </w:trPr>
        <w:tc>
          <w:tcPr>
            <w:tcW w:w="1900" w:type="dxa"/>
          </w:tcPr>
          <w:p>
            <w:pPr>
              <w:pStyle w:val="TableText"/>
            </w:pPr>
            <w:r>
              <w:t>Phân đoạn</w:t>
            </w:r>
          </w:p>
        </w:tc>
        <w:tc>
          <w:tcPr>
            <w:tcW w:w="3400" w:type="dxa"/>
          </w:tcPr>
          <w:p>
            <w:pPr>
              <w:pStyle w:val="TableText"/>
            </w:pPr>
            <w:r>
              <w:t>transaction_type, property_category, price_period</w:t>
            </w:r>
          </w:p>
        </w:tc>
        <w:tc>
          <w:tcPr>
            <w:tcW w:w="4060" w:type="dxa"/>
          </w:tcPr>
          <w:p>
            <w:pPr>
              <w:pStyle w:val="TableText"/>
            </w:pPr>
            <w:r>
              <w:t>Lọc đúng thị trường, loại và kỳ giá</w:t>
            </w:r>
          </w:p>
        </w:tc>
      </w:tr>
      <w:tr>
        <w:trPr>
          <w:cantSplit/>
        </w:trPr>
        <w:tc>
          <w:tcPr>
            <w:tcW w:w="1900" w:type="dxa"/>
          </w:tcPr>
          <w:p>
            <w:pPr>
              <w:pStyle w:val="TableText"/>
            </w:pPr>
            <w:r>
              <w:t>Nội dung</w:t>
            </w:r>
          </w:p>
        </w:tc>
        <w:tc>
          <w:tcPr>
            <w:tcW w:w="3400" w:type="dxa"/>
          </w:tcPr>
          <w:p>
            <w:pPr>
              <w:pStyle w:val="TableText"/>
            </w:pPr>
            <w:r>
              <w:t>content_text</w:t>
            </w:r>
          </w:p>
        </w:tc>
        <w:tc>
          <w:tcPr>
            <w:tcW w:w="4060" w:type="dxa"/>
          </w:tcPr>
          <w:p>
            <w:pPr>
              <w:pStyle w:val="TableText"/>
            </w:pPr>
            <w:r>
              <w:t>TF-IDF và cosine</w:t>
            </w:r>
          </w:p>
        </w:tc>
      </w:tr>
      <w:tr>
        <w:trPr>
          <w:cantSplit/>
        </w:trPr>
        <w:tc>
          <w:tcPr>
            <w:tcW w:w="1900" w:type="dxa"/>
          </w:tcPr>
          <w:p>
            <w:pPr>
              <w:pStyle w:val="TableText"/>
            </w:pPr>
            <w:r>
              <w:t>Giá / diện tích</w:t>
            </w:r>
          </w:p>
        </w:tc>
        <w:tc>
          <w:tcPr>
            <w:tcW w:w="3400" w:type="dxa"/>
          </w:tcPr>
          <w:p>
            <w:pPr>
              <w:pStyle w:val="TableText"/>
            </w:pPr>
            <w:r>
              <w:t>price_vnd, area_m2</w:t>
            </w:r>
          </w:p>
        </w:tc>
        <w:tc>
          <w:tcPr>
            <w:tcW w:w="4060" w:type="dxa"/>
          </w:tcPr>
          <w:p>
            <w:pPr>
              <w:pStyle w:val="TableText"/>
            </w:pPr>
            <w:r>
              <w:t>Lọc ngân sách / diện tích; điểm gần mục tiêu</w:t>
            </w:r>
          </w:p>
        </w:tc>
      </w:tr>
      <w:tr>
        <w:trPr>
          <w:cantSplit/>
        </w:trPr>
        <w:tc>
          <w:tcPr>
            <w:tcW w:w="1900" w:type="dxa"/>
          </w:tcPr>
          <w:p>
            <w:pPr>
              <w:pStyle w:val="TableText"/>
            </w:pPr>
            <w:r>
              <w:t>Vị trí</w:t>
            </w:r>
          </w:p>
        </w:tc>
        <w:tc>
          <w:tcPr>
            <w:tcW w:w="3400" w:type="dxa"/>
          </w:tcPr>
          <w:p>
            <w:pPr>
              <w:pStyle w:val="TableText"/>
            </w:pPr>
            <w:r>
              <w:t>province/district/ward ID, tọa độ, location_trusted</w:t>
            </w:r>
          </w:p>
        </w:tc>
        <w:tc>
          <w:tcPr>
            <w:tcW w:w="4060" w:type="dxa"/>
          </w:tcPr>
          <w:p>
            <w:pPr>
              <w:pStyle w:val="TableText"/>
            </w:pPr>
            <w:r>
              <w:t>Lọc địa phương; khoảng cách hoặc fallback ID</w:t>
            </w:r>
          </w:p>
        </w:tc>
      </w:tr>
      <w:tr>
        <w:trPr>
          <w:cantSplit/>
        </w:trPr>
        <w:tc>
          <w:tcPr>
            <w:tcW w:w="1900" w:type="dxa"/>
          </w:tcPr>
          <w:p>
            <w:pPr>
              <w:pStyle w:val="TableText"/>
            </w:pPr>
            <w:r>
              <w:t>Cấu trúc</w:t>
            </w:r>
          </w:p>
        </w:tc>
        <w:tc>
          <w:tcPr>
            <w:tcW w:w="3400" w:type="dxa"/>
          </w:tcPr>
          <w:p>
            <w:pPr>
              <w:pStyle w:val="TableText"/>
            </w:pPr>
            <w:r>
              <w:t>bedrooms, bathrooms, subtype, legal_status, furnishing</w:t>
            </w:r>
          </w:p>
        </w:tc>
        <w:tc>
          <w:tcPr>
            <w:tcW w:w="4060" w:type="dxa"/>
          </w:tcPr>
          <w:p>
            <w:pPr>
              <w:pStyle w:val="TableText"/>
            </w:pPr>
            <w:r>
              <w:t>Số phòng tối thiểu; điểm cấu trúc cho similar</w:t>
            </w:r>
          </w:p>
        </w:tc>
      </w:tr>
      <w:tr>
        <w:trPr>
          <w:cantSplit/>
        </w:trPr>
        <w:tc>
          <w:tcPr>
            <w:tcW w:w="1900" w:type="dxa"/>
          </w:tcPr>
          <w:p>
            <w:pPr>
              <w:pStyle w:val="TableText"/>
            </w:pPr>
            <w:r>
              <w:t>Trạng thái / thời gian</w:t>
            </w:r>
          </w:p>
        </w:tc>
        <w:tc>
          <w:tcPr>
            <w:tcW w:w="3400" w:type="dxa"/>
          </w:tcPr>
          <w:p>
            <w:pPr>
              <w:pStyle w:val="TableText"/>
            </w:pPr>
            <w:r>
              <w:t>is_recommendable, last_seen_at</w:t>
            </w:r>
          </w:p>
        </w:tc>
        <w:tc>
          <w:tcPr>
            <w:tcW w:w="4060" w:type="dxa"/>
          </w:tcPr>
          <w:p>
            <w:pPr>
              <w:pStyle w:val="TableText"/>
            </w:pPr>
            <w:r>
              <w:t>Loại tin không hợp lệ / quá cũ; điểm độ mới</w:t>
            </w:r>
          </w:p>
        </w:tc>
      </w:tr>
      <w:tr>
        <w:trPr>
          <w:cantSplit/>
        </w:trPr>
        <w:tc>
          <w:tcPr>
            <w:tcW w:w="1900" w:type="dxa"/>
          </w:tcPr>
          <w:p>
            <w:pPr>
              <w:pStyle w:val="TableText"/>
            </w:pPr>
            <w:r>
              <w:t>Nhận dạng / trùng</w:t>
            </w:r>
          </w:p>
        </w:tc>
        <w:tc>
          <w:tcPr>
            <w:tcW w:w="3400" w:type="dxa"/>
          </w:tcPr>
          <w:p>
            <w:pPr>
              <w:pStyle w:val="TableText"/>
            </w:pPr>
            <w:r>
              <w:t>listing_key, duplicate_group</w:t>
            </w:r>
          </w:p>
        </w:tc>
        <w:tc>
          <w:tcPr>
            <w:tcW w:w="4060" w:type="dxa"/>
          </w:tcPr>
          <w:p>
            <w:pPr>
              <w:pStyle w:val="TableText"/>
            </w:pPr>
            <w:r>
              <w:t>Truy vết, loại seed và hạn chế lặp</w:t>
            </w:r>
          </w:p>
        </w:tc>
      </w:tr>
    </w:tbl>
    <w:p>
      <w:pPr>
        <w:pStyle w:val="Citation"/>
      </w:pPr>
      <w:r>
        <w:t xml:space="preserve">Các cột log giá, log diện tích, giá/m², chiều ngang/dài, tầng và một số thuộc tính khác được giữ trong Gold để phân tích hoặc mở rộng. Engine V1 tính độ gần giá/diện tích từ giá trị gốc; không phải mọi cột Gold đều tác động trực tiếp tới điểm xếp hạng.</w:t>
      </w:r>
    </w:p>
    <w:p>
      <w:pPr>
        <w:pStyle w:val="Heading2"/>
      </w:pPr>
      <w:r>
        <w:t xml:space="preserve">2.4. Xếp hạng tin tương tự</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1900"/>
        <w:gridCol w:w="1900"/>
        <w:gridCol w:w="5560"/>
      </w:tblGrid>
      <w:tr>
        <w:trPr>
          <w:cantSplit/>
          <w:tblHeader/>
        </w:trPr>
        <w:tc>
          <w:tcPr>
            <w:tcW w:w="1900" w:type="dxa"/>
            <w:shd w:fill="F2F4F7"/>
          </w:tcPr>
          <w:p>
            <w:pPr>
              <w:pStyle w:val="TableText"/>
            </w:pPr>
            <w:r>
              <w:rPr>
                <w:b/>
              </w:rPr>
              <w:t>Thành phần</w:t>
            </w:r>
          </w:p>
        </w:tc>
        <w:tc>
          <w:tcPr>
            <w:tcW w:w="1900" w:type="dxa"/>
            <w:shd w:fill="F2F4F7"/>
          </w:tcPr>
          <w:p>
            <w:pPr>
              <w:pStyle w:val="TableText"/>
            </w:pPr>
            <w:r>
              <w:rPr>
                <w:b/>
              </w:rPr>
              <w:t>Trọng số ban đầu</w:t>
            </w:r>
          </w:p>
        </w:tc>
        <w:tc>
          <w:tcPr>
            <w:tcW w:w="5560" w:type="dxa"/>
            <w:shd w:fill="F2F4F7"/>
          </w:tcPr>
          <w:p>
            <w:pPr>
              <w:pStyle w:val="TableText"/>
            </w:pPr>
            <w:r>
              <w:rPr>
                <w:b/>
              </w:rPr>
              <w:t>Cách tính</w:t>
            </w:r>
          </w:p>
        </w:tc>
      </w:tr>
      <w:tr>
        <w:trPr>
          <w:cantSplit/>
        </w:trPr>
        <w:tc>
          <w:tcPr>
            <w:tcW w:w="1900" w:type="dxa"/>
          </w:tcPr>
          <w:p>
            <w:pPr>
              <w:pStyle w:val="TableText"/>
            </w:pPr>
            <w:r>
              <w:t>Nội dung</w:t>
            </w:r>
          </w:p>
        </w:tc>
        <w:tc>
          <w:tcPr>
            <w:tcW w:w="1900" w:type="dxa"/>
          </w:tcPr>
          <w:p>
            <w:pPr>
              <w:pStyle w:val="TableText"/>
            </w:pPr>
            <w:r>
              <w:t>35%</w:t>
            </w:r>
          </w:p>
        </w:tc>
        <w:tc>
          <w:tcPr>
            <w:tcW w:w="5560" w:type="dxa"/>
          </w:tcPr>
          <w:p>
            <w:pPr>
              <w:pStyle w:val="TableText"/>
            </w:pPr>
            <w:r>
              <w:t>Cosine TF-IDF</w:t>
            </w:r>
          </w:p>
        </w:tc>
      </w:tr>
      <w:tr>
        <w:trPr>
          <w:cantSplit/>
        </w:trPr>
        <w:tc>
          <w:tcPr>
            <w:tcW w:w="1900" w:type="dxa"/>
          </w:tcPr>
          <w:p>
            <w:pPr>
              <w:pStyle w:val="TableText"/>
            </w:pPr>
            <w:r>
              <w:t>Giá</w:t>
            </w:r>
          </w:p>
        </w:tc>
        <w:tc>
          <w:tcPr>
            <w:tcW w:w="1900" w:type="dxa"/>
          </w:tcPr>
          <w:p>
            <w:pPr>
              <w:pStyle w:val="TableText"/>
            </w:pPr>
            <w:r>
              <w:t>25%</w:t>
            </w:r>
          </w:p>
        </w:tc>
        <w:tc>
          <w:tcPr>
            <w:tcW w:w="5560" w:type="dxa"/>
          </w:tcPr>
          <w:p>
            <w:pPr>
              <w:pStyle w:val="TableText"/>
            </w:pPr>
            <w:r>
              <w:t>exp(−|ln(giá ứng viên / giá mục tiêu)| / 0,35)</w:t>
            </w:r>
          </w:p>
        </w:tc>
      </w:tr>
      <w:tr>
        <w:trPr>
          <w:cantSplit/>
        </w:trPr>
        <w:tc>
          <w:tcPr>
            <w:tcW w:w="1900" w:type="dxa"/>
          </w:tcPr>
          <w:p>
            <w:pPr>
              <w:pStyle w:val="TableText"/>
            </w:pPr>
            <w:r>
              <w:t>Diện tích</w:t>
            </w:r>
          </w:p>
        </w:tc>
        <w:tc>
          <w:tcPr>
            <w:tcW w:w="1900" w:type="dxa"/>
          </w:tcPr>
          <w:p>
            <w:pPr>
              <w:pStyle w:val="TableText"/>
            </w:pPr>
            <w:r>
              <w:t>15%</w:t>
            </w:r>
          </w:p>
        </w:tc>
        <w:tc>
          <w:tcPr>
            <w:tcW w:w="5560" w:type="dxa"/>
          </w:tcPr>
          <w:p>
            <w:pPr>
              <w:pStyle w:val="TableText"/>
            </w:pPr>
            <w:r>
              <w:t>Cùng công thức tỷ lệ, độ rộng 0,30</w:t>
            </w:r>
          </w:p>
        </w:tc>
      </w:tr>
      <w:tr>
        <w:trPr>
          <w:cantSplit/>
        </w:trPr>
        <w:tc>
          <w:tcPr>
            <w:tcW w:w="1900" w:type="dxa"/>
          </w:tcPr>
          <w:p>
            <w:pPr>
              <w:pStyle w:val="TableText"/>
            </w:pPr>
            <w:r>
              <w:t>Vị trí</w:t>
            </w:r>
          </w:p>
        </w:tc>
        <w:tc>
          <w:tcPr>
            <w:tcW w:w="1900" w:type="dxa"/>
          </w:tcPr>
          <w:p>
            <w:pPr>
              <w:pStyle w:val="TableText"/>
            </w:pPr>
            <w:r>
              <w:t>15%</w:t>
            </w:r>
          </w:p>
        </w:tc>
        <w:tc>
          <w:tcPr>
            <w:tcW w:w="5560" w:type="dxa"/>
          </w:tcPr>
          <w:p>
            <w:pPr>
              <w:pStyle w:val="TableText"/>
            </w:pPr>
            <w:r>
              <w:t>exp(−khoảng cách km / 12) hoặc ID hành chính</w:t>
            </w:r>
          </w:p>
        </w:tc>
      </w:tr>
      <w:tr>
        <w:trPr>
          <w:cantSplit/>
        </w:trPr>
        <w:tc>
          <w:tcPr>
            <w:tcW w:w="1900" w:type="dxa"/>
          </w:tcPr>
          <w:p>
            <w:pPr>
              <w:pStyle w:val="TableText"/>
            </w:pPr>
            <w:r>
              <w:t>Cấu trúc</w:t>
            </w:r>
          </w:p>
        </w:tc>
        <w:tc>
          <w:tcPr>
            <w:tcW w:w="1900" w:type="dxa"/>
          </w:tcPr>
          <w:p>
            <w:pPr>
              <w:pStyle w:val="TableText"/>
            </w:pPr>
            <w:r>
              <w:t>5%</w:t>
            </w:r>
          </w:p>
        </w:tc>
        <w:tc>
          <w:tcPr>
            <w:tcW w:w="5560" w:type="dxa"/>
          </w:tcPr>
          <w:p>
            <w:pPr>
              <w:pStyle w:val="TableText"/>
            </w:pPr>
            <w:r>
              <w:t>Độ gần số phòng, khớp thuộc tính có thông tin</w:t>
            </w:r>
          </w:p>
        </w:tc>
      </w:tr>
      <w:tr>
        <w:trPr>
          <w:cantSplit/>
        </w:trPr>
        <w:tc>
          <w:tcPr>
            <w:tcW w:w="1900" w:type="dxa"/>
          </w:tcPr>
          <w:p>
            <w:pPr>
              <w:pStyle w:val="TableText"/>
            </w:pPr>
            <w:r>
              <w:t>Độ mới</w:t>
            </w:r>
          </w:p>
        </w:tc>
        <w:tc>
          <w:tcPr>
            <w:tcW w:w="1900" w:type="dxa"/>
          </w:tcPr>
          <w:p>
            <w:pPr>
              <w:pStyle w:val="TableText"/>
            </w:pPr>
            <w:r>
              <w:t>5%</w:t>
            </w:r>
          </w:p>
        </w:tc>
        <w:tc>
          <w:tcPr>
            <w:tcW w:w="5560" w:type="dxa"/>
          </w:tcPr>
          <w:p>
            <w:pPr>
              <w:pStyle w:val="TableText"/>
            </w:pPr>
            <w:r>
              <w:t>exp(−tuổi tin ngày / 60)</w:t>
            </w:r>
          </w:p>
        </w:tc>
      </w:tr>
    </w:tbl>
    <w:p>
      <w:pPr>
        <w:pStyle w:val="Citation"/>
      </w:pPr>
      <w:r>
        <w:t xml:space="preserve">Nguồn: [2], [3]. Trọng số là baseline đặt thủ công, chưa được học từ nhãn.</w:t>
      </w:r>
    </w:p>
    <w:p>
      <w:pPr>
        <w:pStyle w:val="Normal"/>
      </w:pPr>
      <w:r>
        <w:t xml:space="preserve">Điểm tổng bằng tổng (trọng số × điểm thành phần), chia cho tổng trọng số được sử dụng. Bỏ điểm giá khi kỳ giá không rõ và bỏ cấu trúc khi seed không có thông tin tương ứng. Similar loại chính seed và nhóm trùng của seed; mỗi nhóm trùng chỉ giữ tối đa một kết quả.</w:t>
      </w:r>
    </w:p>
    <w:p>
      <w:pPr>
        <w:pStyle w:val="Note"/>
      </w:pPr>
      <w:r>
        <w:t xml:space="preserve">Ví dụ giá 4 tỷ so với 4,4 tỷ phản ánh chênh lệch 10%; thang log so sánh theo tỷ lệ thay vì chênh lệch VND tuyệt đối. Điểm 0,72 là điểm xếp hạng tổng hợp, không phải xác suất thích tin 72%.</w:t>
      </w:r>
    </w:p>
    <w:p>
      <w:pPr>
        <w:pStyle w:val="Heading2"/>
      </w:pPr>
      <w:r>
        <w:t xml:space="preserve">2.5. Gợi ý theo nhu cầu hoạt động thế nào?</w:t>
      </w:r>
    </w:p>
    <w:p>
      <w:pPr>
        <w:pStyle w:val="Normal"/>
      </w:pPr>
      <w:r>
        <w:t xml:space="preserve">Preferences tách điều kiện bắt buộc khỏi tiêu chí xếp hạng. max_price là trần ngân sách, trong khi target_price là mức giá mong muốn dùng để chấm độ gần; min_area khác target_area theo cùng nguyên tắc. Số phòng tối thiểu và địa phương được dùng để loại ứng viên không đáp ứng.</w:t>
      </w:r>
    </w:p>
    <w:p>
      <w:pPr>
        <w:pStyle w:val="Normal"/>
      </w:pPr>
      <w:r>
        <w:t xml:space="preserve">Ví dụ người dùng muốn thuê nhà theo tháng, tối đa 15 triệu đồng, ít nhất hai phòng ngủ và tìm “gần trường học”. Hệ thống chọn rent, HOUSE, price_period=month, kiểm tra trạng thái/tuổi tin, lọc giá và số phòng; nếu có district_id thì lọc thêm quận/huyện. Sau đó vector hóa từ khóa bằng vocabulary rent đã fit và chấm các tín hiệu mục tiêu được cung cấp cùng độ mới.</w:t>
      </w:r>
    </w:p>
    <w:p>
      <w:pPr>
        <w:pStyle w:val="Normal"/>
      </w:pPr>
      <w:r>
        <w:t xml:space="preserve">Khi có query văn bản, chỉ giữ ứng viên có cosine dương; query ngoài từ vựng trả rỗng. Nếu chỉ nhập bộ lọc, không có tiêu chí nội dung hay mục tiêu số để xếp hạng, kết quả ưu tiên độ mới. Hệ thống không tự nới ngân sách hoặc chuyển loại bất động sản để lấp đầy K. Similar chỉ bắt buộc cùng tỉnh, nên vẫn có thể trả tin ở nhiều quận.</w:t>
      </w:r>
    </w:p>
    <w:p>
      <w:pPr>
        <w:pStyle w:val="Heading2"/>
      </w:pPr>
      <w:r>
        <w:t xml:space="preserve">2.6. “Huấn luyện” ở đây học gì?</w:t>
      </w:r>
    </w:p>
    <w:p>
      <w:pPr>
        <w:pStyle w:val="Normal"/>
      </w:pPr>
      <w:r>
        <w:t xml:space="preserve">Huấn luyện là fit biểu diễn TF-IDF không có nhãn y: học vocabulary n-gram, tính IDF và biến đổi nội dung các tin thành vector. Trọng số giá/nội dung/vị trí và quy tắc lọc là cấu hình thủ công. Không có epoch, backpropagation hoặc nhãn giá cần dự đoán trong mô hình này.</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4500"/>
        <w:gridCol w:w="4860"/>
      </w:tblGrid>
      <w:tr>
        <w:trPr>
          <w:cantSplit/>
          <w:tblHeader/>
        </w:trPr>
        <w:tc>
          <w:tcPr>
            <w:tcW w:w="4500" w:type="dxa"/>
            <w:shd w:fill="F2F4F7"/>
          </w:tcPr>
          <w:p>
            <w:pPr>
              <w:pStyle w:val="TableText"/>
            </w:pPr>
            <w:r>
              <w:rPr>
                <w:b/>
              </w:rPr>
              <w:t>Tham số TF-IDF</w:t>
            </w:r>
          </w:p>
        </w:tc>
        <w:tc>
          <w:tcPr>
            <w:tcW w:w="4860" w:type="dxa"/>
            <w:shd w:fill="F2F4F7"/>
          </w:tcPr>
          <w:p>
            <w:pPr>
              <w:pStyle w:val="TableText"/>
            </w:pPr>
            <w:r>
              <w:rPr>
                <w:b/>
              </w:rPr>
              <w:t>Giá trị cấu hình</w:t>
            </w:r>
          </w:p>
        </w:tc>
      </w:tr>
      <w:tr>
        <w:trPr>
          <w:cantSplit/>
        </w:trPr>
        <w:tc>
          <w:tcPr>
            <w:tcW w:w="4500" w:type="dxa"/>
          </w:tcPr>
          <w:p>
            <w:pPr>
              <w:pStyle w:val="TableText"/>
            </w:pPr>
            <w:r>
              <w:t>analyzer / ngram_range</w:t>
            </w:r>
          </w:p>
        </w:tc>
        <w:tc>
          <w:tcPr>
            <w:tcW w:w="4860" w:type="dxa"/>
          </w:tcPr>
          <w:p>
            <w:pPr>
              <w:pStyle w:val="TableText"/>
            </w:pPr>
            <w:r>
              <w:t>char_wb / (3, 5)</w:t>
            </w:r>
          </w:p>
        </w:tc>
      </w:tr>
      <w:tr>
        <w:trPr>
          <w:cantSplit/>
        </w:trPr>
        <w:tc>
          <w:tcPr>
            <w:tcW w:w="4500" w:type="dxa"/>
          </w:tcPr>
          <w:p>
            <w:pPr>
              <w:pStyle w:val="TableText"/>
            </w:pPr>
            <w:r>
              <w:t>max_features / min_df</w:t>
            </w:r>
          </w:p>
        </w:tc>
        <w:tc>
          <w:tcPr>
            <w:tcW w:w="4860" w:type="dxa"/>
          </w:tcPr>
          <w:p>
            <w:pPr>
              <w:pStyle w:val="TableText"/>
            </w:pPr>
            <w:r>
              <w:t>30.000 mỗi thị trường / 2</w:t>
            </w:r>
          </w:p>
        </w:tc>
      </w:tr>
      <w:tr>
        <w:trPr>
          <w:cantSplit/>
        </w:trPr>
        <w:tc>
          <w:tcPr>
            <w:tcW w:w="4500" w:type="dxa"/>
          </w:tcPr>
          <w:p>
            <w:pPr>
              <w:pStyle w:val="TableText"/>
            </w:pPr>
            <w:r>
              <w:t>sublinear_tf / norm</w:t>
            </w:r>
          </w:p>
        </w:tc>
        <w:tc>
          <w:tcPr>
            <w:tcW w:w="4860" w:type="dxa"/>
          </w:tcPr>
          <w:p>
            <w:pPr>
              <w:pStyle w:val="TableText"/>
            </w:pPr>
            <w:r>
              <w:t>True / l2</w:t>
            </w:r>
          </w:p>
        </w:tc>
      </w:tr>
      <w:tr>
        <w:trPr>
          <w:cantSplit/>
        </w:trPr>
        <w:tc>
          <w:tcPr>
            <w:tcW w:w="4500" w:type="dxa"/>
          </w:tcPr>
          <w:p>
            <w:pPr>
              <w:pStyle w:val="TableText"/>
            </w:pPr>
            <w:r>
              <w:t>dtype / độ dài nội dung</w:t>
            </w:r>
          </w:p>
        </w:tc>
        <w:tc>
          <w:tcPr>
            <w:tcW w:w="4860" w:type="dxa"/>
          </w:tcPr>
          <w:p>
            <w:pPr>
              <w:pStyle w:val="TableText"/>
            </w:pPr>
            <w:r>
              <w:t>float32 / giới hạn 4.000 ký tự</w:t>
            </w:r>
          </w:p>
        </w:tc>
      </w:tr>
    </w:tbl>
    <w:p>
      <w:pPr>
        <w:pStyle w:val="Heading2"/>
      </w:pPr>
      <w:r>
        <w:t xml:space="preserve">2.7. Quy trình huấn luyện có thể tái lập</w:t>
      </w:r>
    </w:p>
    <w:p>
      <w:pPr>
        <w:pStyle w:val="Normal"/>
      </w:pPr>
      <w:r>
        <w:t xml:space="preserve">Build và test Gold → export Delta version cố định → kiểm tra hợp đồng dữ liệu → cố định as_of và lọc tin → fit sale → fit rent → lưu bundle → kiểm thử và benchmark. contract.prepare() kiểm tra cột bắt buộc, ID rỗng/trùng, enum, kỳ giá, số không hữu hạn, ID hành chính và thời gian UTC; tin và query dùng chung normalize_text().</w:t>
      </w:r>
    </w:p>
    <w:p>
      <w:pPr>
        <w:pStyle w:val="Normal"/>
      </w:pPr>
      <w:r>
        <w:t xml:space="preserve">eligible() chỉ nhận is_recommendable=true, giá/diện tích dương và last_seen_at thuộc [as_of − 90 ngày, as_of], không nhận ngày tương lai. Trước vector hóa, catalog được sắp theo listing_key để hàng metadata luôn tương ứng với hàng ma trận.</w:t>
      </w:r>
    </w:p>
    <w:p>
      <w:pPr>
        <w:pStyle w:val="Heading2"/>
      </w:pPr>
      <w:r>
        <w:t xml:space="preserve">2.8. Mô hình được lưu và sử dụng lại ra sao?</w:t>
      </w:r>
    </w:p>
    <w:p>
      <w:pPr>
        <w:pStyle w:val="Code"/>
      </w:pPr>
      <w:r>
        <w:t xml:space="preserve">artifacts/recommendation/exports/20261023_v1/</w:t>
      </w:r>
    </w:p>
    <w:p>
      <w:pPr>
        <w:pStyle w:val="Normal"/>
      </w:pPr>
      <w:r>
        <w:t xml:space="preserve">Thư mục export có catalog.parquet và snapshot.json. Đây là bản dữ liệu đầu vào local bất biến theo version; train.py đọc bản này, không truy vấn MinIO ở từng bước fit.</w:t>
      </w:r>
    </w:p>
    <w:p>
      <w:pPr>
        <w:pStyle w:val="Code"/>
      </w:pPr>
      <w:r>
        <w:t xml:space="preserve">artifacts/recommendation/models/20261023_v1/</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4200"/>
        <w:gridCol w:w="5160"/>
      </w:tblGrid>
      <w:tr>
        <w:trPr>
          <w:cantSplit/>
          <w:tblHeader/>
        </w:trPr>
        <w:tc>
          <w:tcPr>
            <w:tcW w:w="4200" w:type="dxa"/>
            <w:shd w:fill="F2F4F7"/>
          </w:tcPr>
          <w:p>
            <w:pPr>
              <w:pStyle w:val="TableText"/>
            </w:pPr>
            <w:r>
              <w:rPr>
                <w:b/>
              </w:rPr>
              <w:t>Thành phần bundle</w:t>
            </w:r>
          </w:p>
        </w:tc>
        <w:tc>
          <w:tcPr>
            <w:tcW w:w="5160" w:type="dxa"/>
            <w:shd w:fill="F2F4F7"/>
          </w:tcPr>
          <w:p>
            <w:pPr>
              <w:pStyle w:val="TableText"/>
            </w:pPr>
            <w:r>
              <w:rPr>
                <w:b/>
              </w:rPr>
              <w:t>Nội dung</w:t>
            </w:r>
          </w:p>
        </w:tc>
      </w:tr>
      <w:tr>
        <w:trPr>
          <w:cantSplit/>
        </w:trPr>
        <w:tc>
          <w:tcPr>
            <w:tcW w:w="4200" w:type="dxa"/>
          </w:tcPr>
          <w:p>
            <w:pPr>
              <w:pStyle w:val="TableText"/>
            </w:pPr>
            <w:r>
              <w:t>manifest.json</w:t>
            </w:r>
          </w:p>
        </w:tc>
        <w:tc>
          <w:tcPr>
            <w:tcW w:w="5160" w:type="dxa"/>
          </w:tcPr>
          <w:p>
            <w:pPr>
              <w:pStyle w:val="TableText"/>
            </w:pPr>
            <w:r>
              <w:t>Version dữ liệu, as_of, tham số, trọng số, checksum, số hàng/chiều và phiên bản môi trường</w:t>
            </w:r>
          </w:p>
        </w:tc>
      </w:tr>
      <w:tr>
        <w:trPr>
          <w:cantSplit/>
        </w:trPr>
        <w:tc>
          <w:tcPr>
            <w:tcW w:w="4200" w:type="dxa"/>
          </w:tcPr>
          <w:p>
            <w:pPr>
              <w:pStyle w:val="TableText"/>
            </w:pPr>
            <w:r>
              <w:t>sale/catalog.parquet; rent/catalog.parquet</w:t>
            </w:r>
          </w:p>
        </w:tc>
        <w:tc>
          <w:tcPr>
            <w:tcW w:w="5160" w:type="dxa"/>
          </w:tcPr>
          <w:p>
            <w:pPr>
              <w:pStyle w:val="TableText"/>
            </w:pPr>
            <w:r>
              <w:t>Metadata tin đúng thứ tự hàng của ma trận từng thị trường</w:t>
            </w:r>
          </w:p>
        </w:tc>
      </w:tr>
      <w:tr>
        <w:trPr>
          <w:cantSplit/>
        </w:trPr>
        <w:tc>
          <w:tcPr>
            <w:tcW w:w="4200" w:type="dxa"/>
          </w:tcPr>
          <w:p>
            <w:pPr>
              <w:pStyle w:val="TableText"/>
            </w:pPr>
            <w:r>
              <w:t>sale/matrix.npz; rent/matrix.npz</w:t>
            </w:r>
          </w:p>
        </w:tc>
        <w:tc>
          <w:tcPr>
            <w:tcW w:w="5160" w:type="dxa"/>
          </w:tcPr>
          <w:p>
            <w:pPr>
              <w:pStyle w:val="TableText"/>
            </w:pPr>
            <w:r>
              <w:t>Ma trận sparse TF-IDF để tính tương đồng</w:t>
            </w:r>
          </w:p>
        </w:tc>
      </w:tr>
      <w:tr>
        <w:trPr>
          <w:cantSplit/>
        </w:trPr>
        <w:tc>
          <w:tcPr>
            <w:tcW w:w="4200" w:type="dxa"/>
          </w:tcPr>
          <w:p>
            <w:pPr>
              <w:pStyle w:val="TableText"/>
            </w:pPr>
            <w:r>
              <w:t>sale/vectorizer.joblib; rent/vectorizer.joblib</w:t>
            </w:r>
          </w:p>
        </w:tc>
        <w:tc>
          <w:tcPr>
            <w:tcW w:w="5160" w:type="dxa"/>
          </w:tcPr>
          <w:p>
            <w:pPr>
              <w:pStyle w:val="TableText"/>
            </w:pPr>
            <w:r>
              <w:t>Vocabulary, IDF và cấu hình biến đổi query mới</w:t>
            </w:r>
          </w:p>
        </w:tc>
      </w:tr>
    </w:tbl>
    <w:p>
      <w:pPr>
        <w:pStyle w:val="Normal"/>
      </w:pPr>
      <w:r>
        <w:t xml:space="preserve">Trainer ghi staging rồi rename thành version hoàn chỉnh sau khi cả sale và rent thành công; từ chối ghi đè version đã tồn tại. Engine kiểm tra checksum, hash thứ tự ID, shape ma trận/vocabulary và phiên bản sklearn. Các artifact nằm local và bị Git ignore; tài liệu chưa ghi nhận đưa bundle vào MLflow Registry.</w:t>
      </w:r>
    </w:p>
    <w:p>
      <w:pPr>
        <w:pStyle w:val="Heading2"/>
      </w:pPr>
      <w:r>
        <w:t xml:space="preserve">2.9. Vai trò mã Python và kết quả đã ghi nhận</w:t>
      </w:r>
    </w:p>
    <w:p>
      <w:pPr>
        <w:pStyle w:val="Normal"/>
      </w:pPr>
      <w:r>
        <w:t xml:space="preserve">export.py đọc snapshot; contract.py chuẩn hóa và kiểm tra; train.py fit/lưu; engine.py thực hiện similar/preferences; __main__.py cung cấp CLI; benchmark.py đo ràng buộc/tốc độ; evaluate.py tính chỉ số từ nhãn thật. tests/test_recommendation.py dùng fixture để kiểm tra hành vi.</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4800"/>
        <w:gridCol w:w="2280"/>
        <w:gridCol w:w="2280"/>
      </w:tblGrid>
      <w:tr>
        <w:trPr>
          <w:cantSplit/>
          <w:tblHeader/>
        </w:trPr>
        <w:tc>
          <w:tcPr>
            <w:tcW w:w="4800" w:type="dxa"/>
            <w:shd w:fill="F2F4F7"/>
          </w:tcPr>
          <w:p>
            <w:pPr>
              <w:pStyle w:val="TableText"/>
            </w:pPr>
            <w:r>
              <w:rPr>
                <w:b/>
              </w:rPr>
              <w:t>Chỉ số của version 20261023_v1</w:t>
            </w:r>
          </w:p>
        </w:tc>
        <w:tc>
          <w:tcPr>
            <w:tcW w:w="2280" w:type="dxa"/>
            <w:shd w:fill="F2F4F7"/>
          </w:tcPr>
          <w:p>
            <w:pPr>
              <w:pStyle w:val="TableText"/>
            </w:pPr>
            <w:r>
              <w:rPr>
                <w:b/>
              </w:rPr>
              <w:t>Sale</w:t>
            </w:r>
          </w:p>
        </w:tc>
        <w:tc>
          <w:tcPr>
            <w:tcW w:w="2280" w:type="dxa"/>
            <w:shd w:fill="F2F4F7"/>
          </w:tcPr>
          <w:p>
            <w:pPr>
              <w:pStyle w:val="TableText"/>
            </w:pPr>
            <w:r>
              <w:rPr>
                <w:b/>
              </w:rPr>
              <w:t>Rent</w:t>
            </w:r>
          </w:p>
        </w:tc>
      </w:tr>
      <w:tr>
        <w:trPr>
          <w:cantSplit/>
        </w:trPr>
        <w:tc>
          <w:tcPr>
            <w:tcW w:w="4800" w:type="dxa"/>
          </w:tcPr>
          <w:p>
            <w:pPr>
              <w:pStyle w:val="TableText"/>
            </w:pPr>
            <w:r>
              <w:t>Số tin / số chiều TF-IDF</w:t>
            </w:r>
          </w:p>
        </w:tc>
        <w:tc>
          <w:tcPr>
            <w:tcW w:w="2280" w:type="dxa"/>
          </w:tcPr>
          <w:p>
            <w:pPr>
              <w:pStyle w:val="TableText"/>
            </w:pPr>
            <w:r>
              <w:t>24.488 / 30.000</w:t>
            </w:r>
          </w:p>
        </w:tc>
        <w:tc>
          <w:tcPr>
            <w:tcW w:w="2280" w:type="dxa"/>
          </w:tcPr>
          <w:p>
            <w:pPr>
              <w:pStyle w:val="TableText"/>
            </w:pPr>
            <w:r>
              <w:t>40.124 / 30.000</w:t>
            </w:r>
          </w:p>
        </w:tc>
      </w:tr>
      <w:tr>
        <w:trPr>
          <w:cantSplit/>
        </w:trPr>
        <w:tc>
          <w:tcPr>
            <w:tcW w:w="4800" w:type="dxa"/>
          </w:tcPr>
          <w:p>
            <w:pPr>
              <w:pStyle w:val="TableText"/>
            </w:pPr>
            <w:r>
              <w:t>Thời gian fit và lưu phân đoạn</w:t>
            </w:r>
          </w:p>
        </w:tc>
        <w:tc>
          <w:tcPr>
            <w:tcW w:w="2280" w:type="dxa"/>
          </w:tcPr>
          <w:p>
            <w:pPr>
              <w:pStyle w:val="TableText"/>
            </w:pPr>
            <w:r>
              <w:t>20,105 giây</w:t>
            </w:r>
          </w:p>
        </w:tc>
        <w:tc>
          <w:tcPr>
            <w:tcW w:w="2280" w:type="dxa"/>
          </w:tcPr>
          <w:p>
            <w:pPr>
              <w:pStyle w:val="TableText"/>
            </w:pPr>
            <w:r>
              <w:t>30,760 giây</w:t>
            </w:r>
          </w:p>
        </w:tc>
      </w:tr>
      <w:tr>
        <w:trPr>
          <w:cantSplit/>
        </w:trPr>
        <w:tc>
          <w:tcPr>
            <w:tcW w:w="4800" w:type="dxa"/>
          </w:tcPr>
          <w:p>
            <w:pPr>
              <w:pStyle w:val="TableText"/>
            </w:pPr>
            <w:r>
              <w:t>Số query similar / kết quả</w:t>
            </w:r>
          </w:p>
        </w:tc>
        <w:tc>
          <w:tcPr>
            <w:tcW w:w="2280" w:type="dxa"/>
          </w:tcPr>
          <w:p>
            <w:pPr>
              <w:pStyle w:val="TableText"/>
            </w:pPr>
            <w:r>
              <w:t>50 / 500</w:t>
            </w:r>
          </w:p>
        </w:tc>
        <w:tc>
          <w:tcPr>
            <w:tcW w:w="2280" w:type="dxa"/>
          </w:tcPr>
          <w:p>
            <w:pPr>
              <w:pStyle w:val="TableText"/>
            </w:pPr>
            <w:r>
              <w:t>50 / 500</w:t>
            </w:r>
          </w:p>
        </w:tc>
      </w:tr>
      <w:tr>
        <w:trPr>
          <w:cantSplit/>
        </w:trPr>
        <w:tc>
          <w:tcPr>
            <w:tcW w:w="4800" w:type="dxa"/>
          </w:tcPr>
          <w:p>
            <w:pPr>
              <w:pStyle w:val="TableText"/>
            </w:pPr>
            <w:r>
              <w:t>p95 similar</w:t>
            </w:r>
          </w:p>
        </w:tc>
        <w:tc>
          <w:tcPr>
            <w:tcW w:w="2280" w:type="dxa"/>
          </w:tcPr>
          <w:p>
            <w:pPr>
              <w:pStyle w:val="TableText"/>
            </w:pPr>
            <w:r>
              <w:t>406,37 ms</w:t>
            </w:r>
          </w:p>
        </w:tc>
        <w:tc>
          <w:tcPr>
            <w:tcW w:w="2280" w:type="dxa"/>
          </w:tcPr>
          <w:p>
            <w:pPr>
              <w:pStyle w:val="TableText"/>
            </w:pPr>
            <w:r>
              <w:t>295,24 ms</w:t>
            </w:r>
          </w:p>
        </w:tc>
      </w:tr>
      <w:tr>
        <w:trPr>
          <w:cantSplit/>
        </w:trPr>
        <w:tc>
          <w:tcPr>
            <w:tcW w:w="4800" w:type="dxa"/>
          </w:tcPr>
          <w:p>
            <w:pPr>
              <w:pStyle w:val="TableText"/>
            </w:pPr>
            <w:r>
              <w:t>p95 preferences</w:t>
            </w:r>
          </w:p>
        </w:tc>
        <w:tc>
          <w:tcPr>
            <w:tcW w:w="2280" w:type="dxa"/>
          </w:tcPr>
          <w:p>
            <w:pPr>
              <w:pStyle w:val="TableText"/>
            </w:pPr>
            <w:r>
              <w:t>16,00 ms</w:t>
            </w:r>
          </w:p>
        </w:tc>
        <w:tc>
          <w:tcPr>
            <w:tcW w:w="2280" w:type="dxa"/>
          </w:tcPr>
          <w:p>
            <w:pPr>
              <w:pStyle w:val="TableText"/>
            </w:pPr>
            <w:r>
              <w:t>16,60 ms</w:t>
            </w:r>
          </w:p>
        </w:tc>
      </w:tr>
    </w:tbl>
    <w:p>
      <w:pPr>
        <w:pStyle w:val="Citation"/>
      </w:pPr>
      <w:r>
        <w:t xml:space="preserve">Nguồn: [2], [3]; benchmark gọi engine trực tiếp, tuần tự.</w:t>
      </w:r>
    </w:p>
    <w:p>
      <w:pPr>
        <w:pStyle w:val="Note"/>
      </w:pPr>
      <w:r>
        <w:t xml:space="preserve">Hai khoảng fit/lưu cộng lại 50,865 giây, chưa gồm build Gold, export và toàn bộ pipeline. Benchmark ghi nhận 0 vi phạm các bộ lọc được kiểm tra; không suy ra độ chính xác gợi ý. Preferences benchmark không có query văn bản. Python 3.12.9, sklearn 1.6.1.</w:t>
      </w:r>
    </w:p>
    <w:p>
      <w:pPr>
        <w:pStyle w:val="Heading2"/>
      </w:pPr>
      <w:r>
        <w:t xml:space="preserve">2.10. Kế hoạch huấn luyện và đánh giá tiếp theo</w:t>
      </w:r>
    </w:p>
    <w:p>
      <w:pPr>
        <w:pStyle w:val="Heading3"/>
      </w:pPr>
      <w:r>
        <w:t xml:space="preserve">Giai đoạn A — Giữ một baseline có thể tái lập</w:t>
      </w:r>
    </w:p>
    <w:p>
      <w:pPr>
        <w:pStyle w:val="Normal"/>
      </w:pPr>
      <w:r>
        <w:t xml:space="preserve">Dùng quy trình đã có để tạo mỗi version từ Gold đã kiểm thử. Pin Delta version, dataset_version, as_of và tham số. Giữ riêng sale/rent; fit toàn bộ catalog đủ điều kiện để tạo chỉ mục phục vụ. Chạy unittest, kiểm tra artifact và benchmark trước khi xem xét thay bundle.</w:t>
      </w:r>
    </w:p>
    <w:p>
      <w:pPr>
        <w:pStyle w:val="Heading3"/>
      </w:pPr>
      <w:r>
        <w:t xml:space="preserve">Giai đoạn B — Xây bộ truy vấn và nhãn thật</w:t>
      </w:r>
    </w:p>
    <w:p>
      <w:pPr>
        <w:pStyle w:val="Normal"/>
      </w:pPr>
      <w:r>
        <w:t xml:space="preserve">Chuẩn bị khoảng 240 truy vấn: 120 sale và 120 rent, mỗi thị trường có cả similar lẫn preferences, phủ loại bất động sản, khu vực, phân khúc giá và trường hợp ít/rỗng kết quả. Đây là kế hoạch, chưa phải tập nhãn đã hoàn thành.</w:t>
      </w:r>
    </w:p>
    <w:p>
      <w:pPr>
        <w:pStyle w:val="Normal"/>
      </w:pPr>
      <w:r>
        <w:t xml:space="preserve">Lấy pool Top-20 từ baseline theo quy tắc và TF-IDF, sau đó nhờ người đánh giá chấm 0–3: không phù hợp, hơi phù hợp, phù hợp, rất phù hợp. Pool phải phản ánh nhiều phương án, tránh chỉ chấm kết quả của một mô hình. Khi thêm mô hình đối chứng, bổ sung nhãn cho các kết quả mới chưa được chấm.</w:t>
      </w:r>
    </w:p>
    <w:p>
      <w:pPr>
        <w:pStyle w:val="Heading3"/>
      </w:pPr>
      <w:r>
        <w:t xml:space="preserve">Giai đoạn C — Chọn cấu hình trên tune, kiểm chứng trên test</w:t>
      </w:r>
    </w:p>
    <w:p>
      <w:pPr>
        <w:pStyle w:val="Normal"/>
      </w:pPr>
      <w:r>
        <w:t xml:space="preserve">Chia tập truy vấn theo nhóm seed/bất động sản để hạn chế tin trùng lọt sang cả tune và test. Pin cả snapshot lẫn as_of; không dùng catalog hiện tại để giả lập quá khứ. Tối ưu trọng số, n-gram, min_df hoặc ngưỡng trên tune, có thể chọn riêng sale/rent; sau đó khóa cấu hình và đánh giá test một lần.</w:t>
      </w:r>
    </w:p>
    <w:p>
      <w:pPr>
        <w:pStyle w:val="Normal"/>
      </w:pPr>
      <w:r>
        <w:t xml:space="preserve">Không chia ngẫu nhiên 80/20 các tin rồi tuyên bố độ chính xác như bài toán dự đoán giá. Chỉ mục serving cần toàn bộ catalog hợp lệ, còn tập truy vấn có nhãn mới là cơ sở để đo chất lượng xếp hạng và chọn tham số.</w:t>
      </w:r>
    </w:p>
    <w:tbl>
      <w:tblPr>
        <w:tblW w:w="9360" w:type="dxa"/>
        <w:tblInd w:w="120" w:type="dxa"/>
        <w:tblLayout w:type="fixed"/>
        <w:tblBorders>
          <w:top w:val="single" w:sz="4" w:color="D5DAE0"/>
          <w:left w:val="single" w:sz="4" w:color="D5DAE0"/>
          <w:bottom w:val="single" w:sz="4" w:color="D5DAE0"/>
          <w:right w:val="single" w:sz="4" w:color="D5DAE0"/>
          <w:insideH w:val="single" w:sz="4" w:color="D5DAE0"/>
          <w:insideV w:val="single" w:sz="4" w:color="D5DAE0"/>
        </w:tblBorders>
        <w:tblCellMar>
          <w:top w:w="80" w:type="dxa"/>
          <w:bottom w:w="80" w:type="dxa"/>
          <w:start w:w="120" w:type="dxa"/>
          <w:end w:w="120" w:type="dxa"/>
        </w:tblCellMar>
      </w:tblPr>
      <w:tblGrid>
        <w:gridCol w:w="2700"/>
        <w:gridCol w:w="6660"/>
      </w:tblGrid>
      <w:tr>
        <w:trPr>
          <w:cantSplit/>
          <w:tblHeader/>
        </w:trPr>
        <w:tc>
          <w:tcPr>
            <w:tcW w:w="2700" w:type="dxa"/>
            <w:shd w:fill="F2F4F7"/>
          </w:tcPr>
          <w:p>
            <w:pPr>
              <w:pStyle w:val="TableText"/>
            </w:pPr>
            <w:r>
              <w:rPr>
                <w:b/>
              </w:rPr>
              <w:t>Chỉ số đánh giá</w:t>
            </w:r>
          </w:p>
        </w:tc>
        <w:tc>
          <w:tcPr>
            <w:tcW w:w="6660" w:type="dxa"/>
            <w:shd w:fill="F2F4F7"/>
          </w:tcPr>
          <w:p>
            <w:pPr>
              <w:pStyle w:val="TableText"/>
            </w:pPr>
            <w:r>
              <w:rPr>
                <w:b/>
              </w:rPr>
              <w:t>Ý nghĩa cần báo cáo</w:t>
            </w:r>
          </w:p>
        </w:tc>
      </w:tr>
      <w:tr>
        <w:trPr>
          <w:cantSplit/>
        </w:trPr>
        <w:tc>
          <w:tcPr>
            <w:tcW w:w="2700" w:type="dxa"/>
          </w:tcPr>
          <w:p>
            <w:pPr>
              <w:pStyle w:val="TableText"/>
            </w:pPr>
            <w:r>
              <w:t>Precision@10</w:t>
            </w:r>
          </w:p>
        </w:tc>
        <w:tc>
          <w:tcPr>
            <w:tcW w:w="6660" w:type="dxa"/>
          </w:tcPr>
          <w:p>
            <w:pPr>
              <w:pStyle w:val="TableText"/>
            </w:pPr>
            <w:r>
              <w:t>Số kết quả có grade &gt; 0 chia 10, kể cả trả thiếu</w:t>
            </w:r>
          </w:p>
        </w:tc>
      </w:tr>
      <w:tr>
        <w:trPr>
          <w:cantSplit/>
        </w:trPr>
        <w:tc>
          <w:tcPr>
            <w:tcW w:w="2700" w:type="dxa"/>
          </w:tcPr>
          <w:p>
            <w:pPr>
              <w:pStyle w:val="TableText"/>
            </w:pPr>
            <w:r>
              <w:t>nDCG@10</w:t>
            </w:r>
          </w:p>
        </w:tc>
        <w:tc>
          <w:tcPr>
            <w:tcW w:w="6660" w:type="dxa"/>
          </w:tcPr>
          <w:p>
            <w:pPr>
              <w:pStyle w:val="TableText"/>
            </w:pPr>
            <w:r>
              <w:t>Ưu tiên đặt tin có nhãn cao ở đầu danh sách</w:t>
            </w:r>
          </w:p>
        </w:tc>
      </w:tr>
      <w:tr>
        <w:trPr>
          <w:cantSplit/>
        </w:trPr>
        <w:tc>
          <w:tcPr>
            <w:tcW w:w="2700" w:type="dxa"/>
          </w:tcPr>
          <w:p>
            <w:pPr>
              <w:pStyle w:val="TableText"/>
            </w:pPr>
            <w:r>
              <w:t>pooled Recall@10</w:t>
            </w:r>
          </w:p>
        </w:tc>
        <w:tc>
          <w:tcPr>
            <w:tcW w:w="6660" w:type="dxa"/>
          </w:tcPr>
          <w:p>
            <w:pPr>
              <w:pStyle w:val="TableText"/>
            </w:pPr>
            <w:r>
              <w:t>Tỷ lệ positive lấy được trong pool đã chấm</w:t>
            </w:r>
          </w:p>
        </w:tc>
      </w:tr>
      <w:tr>
        <w:trPr>
          <w:cantSplit/>
        </w:trPr>
        <w:tc>
          <w:tcPr>
            <w:tcW w:w="2700" w:type="dxa"/>
          </w:tcPr>
          <w:p>
            <w:pPr>
              <w:pStyle w:val="TableText"/>
            </w:pPr>
            <w:r>
              <w:t>Chỉ số vận hành</w:t>
            </w:r>
          </w:p>
        </w:tc>
        <w:tc>
          <w:tcPr>
            <w:tcW w:w="6660" w:type="dxa"/>
          </w:tcPr>
          <w:p>
            <w:pPr>
              <w:pStyle w:val="TableText"/>
            </w:pPr>
            <w:r>
              <w:t>Độ phủ; ít/rỗng kết quả; trùng; vi phạm lọc; p95</w:t>
            </w:r>
          </w:p>
        </w:tc>
      </w:tr>
    </w:tbl>
    <w:p>
      <w:pPr>
        <w:pStyle w:val="Citation"/>
      </w:pPr>
      <w:r>
        <w:t xml:space="preserve">evaluate.py yêu cầu dataset_version khớp, dùng as_of của annotation và mọi kết quả Top-K phải có nhãn. Báo cáo tách sale/rent và tune/test. Pooled Recall không đại diện Recall trên toàn bộ kho chưa được chấm.</w:t>
      </w:r>
    </w:p>
    <w:p>
      <w:pPr>
        <w:pStyle w:val="Note"/>
      </w:pPr>
      <w:r>
        <w:t xml:space="preserve">Hiện chưa có nhãn con người: chưa có Precision@10, nDCG@10 hoặc CTR thực nghiệm để khẳng định mức độ phù hợp. Các kiểm thử đã ghi nhận (12 dbt tests, 12 unittest) chỉ xác minh những hành vi và ràng buộc cụ thể.</w:t>
      </w:r>
    </w:p>
    <w:p>
      <w:pPr>
        <w:pStyle w:val="Heading2"/>
      </w:pPr>
      <w:r>
        <w:t xml:space="preserve">2.11. Kế hoạch cập nhật và phục vụ mô hình</w:t>
      </w:r>
    </w:p>
    <w:p>
      <w:pPr>
        <w:pStyle w:val="Normal"/>
      </w:pPr>
      <w:r>
        <w:t xml:space="preserve">Gold recommendation đã nằm trong phạm vi bước dbt Gold của DAG. Export/train hiện chạy chủ động qua CLI; chưa có lịch tự động retrain recommendation, chưa tự triển khai vào FastAPI và chưa ghi nhận run/đăng ký model trên MLflow cho lần triển khai này.</w:t>
      </w:r>
    </w:p>
    <w:p>
      <w:pPr>
        <w:pStyle w:val="Heading3"/>
      </w:pPr>
      <w:r>
        <w:t xml:space="preserve">Luồng vận hành đề xuất</w:t>
      </w:r>
    </w:p>
    <w:p>
      <w:pPr>
        <w:pStyle w:val="Normal"/>
      </w:pPr>
      <w:r>
        <w:t xml:space="preserve">Sau một lần Gold thành công, tạo export và model version mới theo nhịp crawl hằng ngày. Cố định snapshot và as_of, fit tuần tự sale/rent, kiểm tra artifact, chạy test và benchmark, rồi mới thay bundle mà tiến trình serving nạp. Giữ version cũ để rollback. Tần suất này là đề xuất, chưa phải cơ chế đã được tự động hóa.</w:t>
      </w:r>
    </w:p>
    <w:p>
      <w:pPr>
        <w:pStyle w:val="Normal"/>
      </w:pPr>
      <w:r>
        <w:t xml:space="preserve">Bộ lọc tuổi tin phải được kiểm tra ở thời điểm request, nhưng không thay thế cập nhật trạng thái: bundle cũ không biết một tin vừa bị gỡ sau export. Trọng số không tự đổi sau mỗi crawl; chỉ tune khi có nhãn và bằng chứng cải thiện. Có thể bổ sung MLflow để theo dõi dữ liệu, tham số, metrics và bundle, kèm wrapper/signature phù hợp nếu dùng Registry.</w:t>
      </w:r>
    </w:p>
    <w:p>
      <w:pPr>
        <w:pStyle w:val="Heading3"/>
      </w:pPr>
      <w:r>
        <w:t xml:space="preserve">Hướng cải tiến khi có thêm bằng chứng</w:t>
      </w:r>
    </w:p>
    <w:p>
      <w:pPr>
        <w:pStyle w:val="Normal"/>
      </w:pPr>
      <w:r>
        <w:t xml:space="preserve">So sánh embedding đa ngôn ngữ với rule-based và TF-IDF trên cùng bộ nhãn; chỉ chọn khi cải thiện chất lượng và đáp ứng tài nguyên. Khi có log hành vi thật, có thể thử learning-to-rank, đồng thời lưu impression/exposure và vị trí hiển thị để giảm thiên lệch. Không coi mọi tin không được click là nhãn âm.</w:t>
      </w:r>
    </w:p>
    <w:p>
      <w:pPr>
        <w:pStyle w:val="Heading2"/>
      </w:pPr>
      <w:r>
        <w:t xml:space="preserve">2.12. Phạm vi kết luận và tài liệu nguồn</w:t>
      </w:r>
    </w:p>
    <w:p>
      <w:pPr>
        <w:pStyle w:val="Normal"/>
      </w:pPr>
      <w:r>
        <w:t xml:space="preserve">Ba tài liệu mô tả một baseline gợi ý có thể tái lập, tách mua/thuê, kiểm soát kỳ giá và giải thích thành phần điểm. Chất lượng còn phụ thuộc dữ liệu vị trí, quy tắc nhận diện trùng, trạng thái tin và mức hiểu nội dung. Cần bộ nhãn thật và đánh giá test riêng trước khi kết luận mô hình gợi ý tốt cho người dùng.</w:t>
      </w:r>
    </w:p>
    <w:p>
      <w:pPr>
        <w:pStyle w:val="Source"/>
      </w:pPr>
      <w:r>
        <w:t xml:space="preserve">[1] ARCHITECTURE.md — “Kiến trúc hệ thống — Lakehouse BĐS Nhà Tốt”, cập nhật 19/10/2026. Dùng cho nguồn dữ liệu, Landing/Bronze/Silver/Gold và vai trò hạ tầng.</w:t>
      </w:r>
    </w:p>
    <w:p>
      <w:pPr>
        <w:pStyle w:val="Source"/>
      </w:pPr>
      <w:r>
        <w:t xml:space="preserve">[2] RECOMMENDATION_GOLD_MODEL.md — “Gold và mô hình gợi ý bất động sản cho sale/rent”, ngày 23/10/2026. Dùng cho Gold recommendation, đặc trưng, quy tắc, lưu trữ và kế hoạch vận hành.</w:t>
      </w:r>
    </w:p>
    <w:p>
      <w:pPr>
        <w:pStyle w:val="Source"/>
      </w:pPr>
      <w:r>
        <w:t xml:space="preserve">[3] QUY_TRINH_HUAN_LUYEN_VA_DANH_GIA_GOI_Y.md — “Quy trình huấn luyện, vai trò mã Python và đánh giá mô hình gợi ý BĐS”, ngày 23/10/2026. Dùng cho cấu hình fit, artifact, kết quả benchmark và đánh giá có nhãn.</w:t>
      </w:r>
    </w:p>
    <w:p>
      <w:pPr>
        <w:pStyle w:val="Note"/>
      </w:pPr>
      <w:r>
        <w:t xml:space="preserve">Cả ba nguồn nằm trong docs/ của repository. Khi mô tả trạng thái mô hình gợi ý, ưu tiên [2], [3] vì mới hơn [1]. Nhận định “chưa có code train” trong kiến trúc cũ không được áp dụng để phủ nhận module recommendation đã bổ sung ngày 23/10; bài toán dự đoán giá là luồng riêng.</w:t>
      </w:r>
    </w:p>
    <w:sectPr>
      <w:headerReference w:type="default" r:id="rId2"/>
      <w:footerReference w:type="default" r:id="rId3"/>
      <w:pgSz w:w="12240" w:h="15840"/>
      <w:pgMar w:top="1440" w:right="1440" w:bottom="1440" w:left="1440" w:header="708" w:footer="708" w:gutter="0"/>
    </w:sectPr>
  </w:body>
</w:document>
</file>

<file path=word/footer1.xml><?xml version="1.0" encoding="utf-8"?>
<w:ftr xmlns:w="http://schemas.openxmlformats.org/wordprocessingml/2006/main">
  <w:p>
    <w:pPr>
      <w:pStyle w:val="Footer"/>
    </w:pPr>
    <w:r>
      <w:t xml:space="preserve">Trang </w:t>
    </w:r>
    <w:fldSimple w:instr="PAGE">
      <w:r>
        <w:t>1</w:t>
      </w:r>
    </w:fldSimple>
  </w:p>
</w:ftr>
</file>

<file path=word/header1.xml><?xml version="1.0" encoding="utf-8"?>
<w:hdr xmlns:w="http://schemas.openxmlformats.org/wordprocessingml/2006/main">
  <w:p>
    <w:pPr>
      <w:pStyle w:val="Header"/>
    </w:pPr>
    <w:r>
      <w:t>LAKEHOUSE NHÀ TỐT | DỮ LIỆU VÀ MÔ HÌNH GỢI Ý</w:t>
    </w:r>
  </w:p>
</w:hdr>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lang w:val="vi-VN"/>
      </w:rPr>
    </w:rPrDefault>
  </w:docDefaults>
  <w:style w:type="paragraph" w:styleId="Normal">
    <w:name w:val="Normal"/>
    <w:pPr>
      <w:spacing w:before="0" w:after="120" w:line="264" w:lineRule="auto"/>
      <w:widowControl/>
    </w:pPr>
    <w:rPr>
      <w:rFonts w:ascii="Calibri" w:hAnsi="Calibri" w:eastAsia="Calibri" w:cs="Calibri"/>
      <w:color w:val="222222"/>
      <w:sz w:val="22"/>
    </w:rPr>
  </w:style>
  <w:style w:type="paragraph" w:styleId="Title">
    <w:name w:val="Title"/>
    <w:basedOn w:val="Normal"/>
    <w:next w:val="Normal"/>
    <w:pPr>
      <w:spacing w:before="0" w:after="120" w:line="264" w:lineRule="auto"/>
      <w:widowControl/>
      <w:keepNext/>
    </w:pPr>
    <w:rPr>
      <w:rFonts w:ascii="Calibri" w:hAnsi="Calibri" w:eastAsia="Calibri" w:cs="Calibri"/>
      <w:color w:val="0B2545"/>
      <w:sz w:val="44"/>
      <w:b/>
    </w:rPr>
  </w:style>
  <w:style w:type="paragraph" w:styleId="Subtitle">
    <w:name w:val="Subtitle"/>
    <w:basedOn w:val="Normal"/>
    <w:next w:val="Normal"/>
    <w:pPr>
      <w:spacing w:before="0" w:after="160" w:line="264" w:lineRule="auto"/>
      <w:widowControl/>
      <w:keepNext/>
    </w:pPr>
    <w:rPr>
      <w:rFonts w:ascii="Calibri" w:hAnsi="Calibri" w:eastAsia="Calibri" w:cs="Calibri"/>
      <w:color w:val="555555"/>
      <w:sz w:val="25"/>
    </w:rPr>
  </w:style>
  <w:style w:type="paragraph" w:styleId="Heading1">
    <w:name w:val="heading 1"/>
    <w:basedOn w:val="Normal"/>
    <w:next w:val="Normal"/>
    <w:pPr>
      <w:spacing w:before="320" w:after="160" w:line="264" w:lineRule="auto"/>
      <w:widowControl/>
      <w:keepNext/>
      <w:keepLines/>
      <w:outlineLvl w:val="0"/>
    </w:pPr>
    <w:rPr>
      <w:rFonts w:ascii="Calibri" w:hAnsi="Calibri" w:eastAsia="Calibri" w:cs="Calibri"/>
      <w:color w:val="2E74B5"/>
      <w:sz w:val="32"/>
      <w:b/>
    </w:rPr>
  </w:style>
  <w:style w:type="paragraph" w:styleId="Heading2">
    <w:name w:val="heading 2"/>
    <w:basedOn w:val="Normal"/>
    <w:next w:val="Normal"/>
    <w:pPr>
      <w:spacing w:before="240" w:after="120" w:line="264" w:lineRule="auto"/>
      <w:widowControl/>
      <w:keepNext/>
      <w:keepLines/>
      <w:outlineLvl w:val="1"/>
    </w:pPr>
    <w:rPr>
      <w:rFonts w:ascii="Calibri" w:hAnsi="Calibri" w:eastAsia="Calibri" w:cs="Calibri"/>
      <w:color w:val="2E74B5"/>
      <w:sz w:val="26"/>
      <w:b/>
    </w:rPr>
  </w:style>
  <w:style w:type="paragraph" w:styleId="Heading3">
    <w:name w:val="heading 3"/>
    <w:basedOn w:val="Normal"/>
    <w:next w:val="Normal"/>
    <w:pPr>
      <w:spacing w:before="160" w:after="80" w:line="264" w:lineRule="auto"/>
      <w:widowControl/>
      <w:keepNext/>
      <w:keepLines/>
      <w:outlineLvl w:val="2"/>
    </w:pPr>
    <w:rPr>
      <w:rFonts w:ascii="Calibri" w:hAnsi="Calibri" w:eastAsia="Calibri" w:cs="Calibri"/>
      <w:color w:val="1F4D78"/>
      <w:sz w:val="24"/>
      <w:b/>
    </w:rPr>
  </w:style>
  <w:style w:type="paragraph" w:styleId="TableText">
    <w:name w:val="Table text"/>
    <w:basedOn w:val="Normal"/>
    <w:next w:val="Normal"/>
    <w:pPr>
      <w:spacing w:before="0" w:after="50" w:line="250" w:lineRule="auto"/>
      <w:widowControl/>
    </w:pPr>
    <w:rPr>
      <w:rFonts w:ascii="Calibri" w:hAnsi="Calibri" w:eastAsia="Calibri" w:cs="Calibri"/>
      <w:color w:val="222222"/>
      <w:sz w:val="19"/>
    </w:rPr>
  </w:style>
  <w:style w:type="paragraph" w:styleId="Code">
    <w:name w:val="Technical path"/>
    <w:basedOn w:val="Normal"/>
    <w:next w:val="Normal"/>
    <w:pPr>
      <w:spacing w:before="0" w:after="100" w:line="250" w:lineRule="auto"/>
      <w:widowControl/>
      <w:keepNext/>
    </w:pPr>
    <w:rPr>
      <w:rFonts w:ascii="Calibri" w:hAnsi="Calibri" w:eastAsia="Calibri" w:cs="Calibri"/>
      <w:color w:val="1F4D78"/>
      <w:sz w:val="19"/>
    </w:rPr>
  </w:style>
  <w:style w:type="paragraph" w:styleId="Note">
    <w:name w:val="Note"/>
    <w:basedOn w:val="Normal"/>
    <w:next w:val="Normal"/>
    <w:pPr>
      <w:spacing w:before="60" w:after="100" w:line="250" w:lineRule="auto"/>
      <w:widowControl/>
      <w:shd w:fill="F4F6F9"/>
      <w:ind w:left="100" w:right="100"/>
    </w:pPr>
    <w:rPr>
      <w:rFonts w:ascii="Calibri" w:hAnsi="Calibri" w:eastAsia="Calibri" w:cs="Calibri"/>
      <w:color w:val="444444"/>
      <w:sz w:val="19"/>
    </w:rPr>
  </w:style>
  <w:style w:type="paragraph" w:styleId="Source">
    <w:name w:val="Source reference"/>
    <w:basedOn w:val="Normal"/>
    <w:next w:val="Normal"/>
    <w:pPr>
      <w:spacing w:before="0" w:after="100" w:line="250" w:lineRule="auto"/>
      <w:widowControl/>
    </w:pPr>
    <w:rPr>
      <w:rFonts w:ascii="Calibri" w:hAnsi="Calibri" w:eastAsia="Calibri" w:cs="Calibri"/>
      <w:color w:val="444444"/>
      <w:sz w:val="19"/>
    </w:rPr>
  </w:style>
  <w:style w:type="paragraph" w:styleId="Citation">
    <w:name w:val="Table citation"/>
    <w:basedOn w:val="Normal"/>
    <w:next w:val="Normal"/>
    <w:pPr>
      <w:spacing w:before="80" w:after="80" w:line="240" w:lineRule="auto"/>
      <w:widowControl/>
    </w:pPr>
    <w:rPr>
      <w:rFonts w:ascii="Calibri" w:hAnsi="Calibri" w:eastAsia="Calibri" w:cs="Calibri"/>
      <w:color w:val="555555"/>
      <w:sz w:val="18"/>
    </w:rPr>
  </w:style>
  <w:style w:type="paragraph" w:styleId="Header">
    <w:name w:val="Header"/>
    <w:basedOn w:val="Normal"/>
    <w:next w:val="Normal"/>
    <w:pPr>
      <w:spacing w:before="0" w:after="0" w:line="240" w:lineRule="auto"/>
      <w:widowControl/>
    </w:pPr>
    <w:rPr>
      <w:rFonts w:ascii="Calibri" w:hAnsi="Calibri" w:eastAsia="Calibri" w:cs="Calibri"/>
      <w:color w:val="666666"/>
      <w:sz w:val="17"/>
    </w:rPr>
  </w:style>
  <w:style w:type="paragraph" w:styleId="Footer">
    <w:name w:val="Footer"/>
    <w:basedOn w:val="Normal"/>
    <w:next w:val="Normal"/>
    <w:pPr>
      <w:spacing w:before="0" w:after="0" w:line="240" w:lineRule="auto"/>
      <w:widowControl/>
      <w:jc w:val="right"/>
    </w:pPr>
    <w:rPr>
      <w:rFonts w:ascii="Calibri" w:hAnsi="Calibri" w:eastAsia="Calibri" w:cs="Calibri"/>
      <w:color w:val="666666"/>
      <w:sz w:val="17"/>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Dữ liệu và mô hình gợi ý bất động sản</dc:title>
  <dc:subject>Hai phần: dữ liệu và mô hình recommendation</dc:subject>
  <dc:description>Tổng hợp từ ba tài liệu dự án, mốc dữ liệu 23/10/2026.</dc:description>
</cp:coreProperties>
</file>