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300D"/>
        </w:rPr>
        <w:t>客戶服務品質分析報告</w:t>
      </w:r>
    </w:p>
    <w:p>
      <w:pPr>
        <w:jc w:val="center"/>
      </w:pPr>
      <w:r>
        <w:rPr>
          <w:sz w:val="20"/>
        </w:rPr>
        <w:t>客戶服務部　｜　2024年Q3季度報告　｜　2024年10月10日</w:t>
      </w:r>
    </w:p>
    <w:p>
      <w:pPr>
        <w:pStyle w:val="Heading1"/>
      </w:pPr>
      <w:r>
        <w:t>一、摘要</w:t>
      </w:r>
    </w:p>
    <w:p>
      <w:r>
        <w:t>本報告針對2024年第三季（7月至9月）客戶服務品質進行全面分析。本季共處理客戶請求8,420件，整體客戶滿意度（CSAT）達88.3%，較上季提升2.1個百分點；首次解決率（FCR）達75.8%，淨推薦值（NPS）為51分。</w:t>
      </w:r>
    </w:p>
    <w:p>
      <w:pPr>
        <w:pStyle w:val="Heading1"/>
      </w:pPr>
      <w:r>
        <w:t>二、服務量能統計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月份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總請求數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平均回應時間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CSAT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首次解決率</w:t>
            </w:r>
          </w:p>
        </w:tc>
      </w:tr>
      <w:tr>
        <w:tc>
          <w:tcPr>
            <w:tcW w:type="dxa" w:w="1728"/>
          </w:tcPr>
          <w:p>
            <w:r>
              <w:t>7月</w:t>
            </w:r>
          </w:p>
        </w:tc>
        <w:tc>
          <w:tcPr>
            <w:tcW w:type="dxa" w:w="1728"/>
          </w:tcPr>
          <w:p>
            <w:r>
              <w:t>2,680件</w:t>
            </w:r>
          </w:p>
        </w:tc>
        <w:tc>
          <w:tcPr>
            <w:tcW w:type="dxa" w:w="1728"/>
          </w:tcPr>
          <w:p>
            <w:r>
              <w:t>4.2小時</w:t>
            </w:r>
          </w:p>
        </w:tc>
        <w:tc>
          <w:tcPr>
            <w:tcW w:type="dxa" w:w="1728"/>
          </w:tcPr>
          <w:p>
            <w:r>
              <w:t>87.1%</w:t>
            </w:r>
          </w:p>
        </w:tc>
        <w:tc>
          <w:tcPr>
            <w:tcW w:type="dxa" w:w="1728"/>
          </w:tcPr>
          <w:p>
            <w:r>
              <w:t>74.5%</w:t>
            </w:r>
          </w:p>
        </w:tc>
      </w:tr>
      <w:tr>
        <w:tc>
          <w:tcPr>
            <w:tcW w:type="dxa" w:w="1728"/>
          </w:tcPr>
          <w:p>
            <w:r>
              <w:t>8月</w:t>
            </w:r>
          </w:p>
        </w:tc>
        <w:tc>
          <w:tcPr>
            <w:tcW w:type="dxa" w:w="1728"/>
          </w:tcPr>
          <w:p>
            <w:r>
              <w:t>2,910件</w:t>
            </w:r>
          </w:p>
        </w:tc>
        <w:tc>
          <w:tcPr>
            <w:tcW w:type="dxa" w:w="1728"/>
          </w:tcPr>
          <w:p>
            <w:r>
              <w:t>3.9小時</w:t>
            </w:r>
          </w:p>
        </w:tc>
        <w:tc>
          <w:tcPr>
            <w:tcW w:type="dxa" w:w="1728"/>
          </w:tcPr>
          <w:p>
            <w:r>
              <w:t>88.6%</w:t>
            </w:r>
          </w:p>
        </w:tc>
        <w:tc>
          <w:tcPr>
            <w:tcW w:type="dxa" w:w="1728"/>
          </w:tcPr>
          <w:p>
            <w:r>
              <w:t>76.2%</w:t>
            </w:r>
          </w:p>
        </w:tc>
      </w:tr>
      <w:tr>
        <w:tc>
          <w:tcPr>
            <w:tcW w:type="dxa" w:w="1728"/>
          </w:tcPr>
          <w:p>
            <w:r>
              <w:t>9月</w:t>
            </w:r>
          </w:p>
        </w:tc>
        <w:tc>
          <w:tcPr>
            <w:tcW w:type="dxa" w:w="1728"/>
          </w:tcPr>
          <w:p>
            <w:r>
              <w:t>2,830件</w:t>
            </w:r>
          </w:p>
        </w:tc>
        <w:tc>
          <w:tcPr>
            <w:tcW w:type="dxa" w:w="1728"/>
          </w:tcPr>
          <w:p>
            <w:r>
              <w:t>3.7小時</w:t>
            </w:r>
          </w:p>
        </w:tc>
        <w:tc>
          <w:tcPr>
            <w:tcW w:type="dxa" w:w="1728"/>
          </w:tcPr>
          <w:p>
            <w:r>
              <w:t>89.2%</w:t>
            </w:r>
          </w:p>
        </w:tc>
        <w:tc>
          <w:tcPr>
            <w:tcW w:type="dxa" w:w="1728"/>
          </w:tcPr>
          <w:p>
            <w:r>
              <w:t>76.8%</w:t>
            </w:r>
          </w:p>
        </w:tc>
      </w:tr>
      <w:tr>
        <w:tc>
          <w:tcPr>
            <w:tcW w:type="dxa" w:w="1728"/>
          </w:tcPr>
          <w:p>
            <w:r>
              <w:t>Q3合計</w:t>
            </w:r>
          </w:p>
        </w:tc>
        <w:tc>
          <w:tcPr>
            <w:tcW w:type="dxa" w:w="1728"/>
          </w:tcPr>
          <w:p>
            <w:r>
              <w:t>8,420件</w:t>
            </w:r>
          </w:p>
        </w:tc>
        <w:tc>
          <w:tcPr>
            <w:tcW w:type="dxa" w:w="1728"/>
          </w:tcPr>
          <w:p>
            <w:r>
              <w:t>3.9小時（均）</w:t>
            </w:r>
          </w:p>
        </w:tc>
        <w:tc>
          <w:tcPr>
            <w:tcW w:type="dxa" w:w="1728"/>
          </w:tcPr>
          <w:p>
            <w:r>
              <w:t>88.3%</w:t>
            </w:r>
          </w:p>
        </w:tc>
        <w:tc>
          <w:tcPr>
            <w:tcW w:type="dxa" w:w="1728"/>
          </w:tcPr>
          <w:p>
            <w:r>
              <w:t>75.8%</w:t>
            </w:r>
          </w:p>
        </w:tc>
      </w:tr>
    </w:tbl>
    <w:p>
      <w:pPr>
        <w:pStyle w:val="Heading1"/>
      </w:pPr>
      <w:r>
        <w:t>三、客戶問題類型分析</w:t>
      </w:r>
    </w:p>
    <w:p>
      <w:r>
        <w:t>本季客戶反映問題主要集中在以下類別：</w:t>
      </w:r>
    </w:p>
    <w:p>
      <w:pPr>
        <w:pStyle w:val="ListBullet"/>
      </w:pPr>
      <w:r>
        <w:t>技術問題（系統操作、功能異常）：38%（3,200件）</w:t>
      </w:r>
    </w:p>
    <w:p>
      <w:pPr>
        <w:pStyle w:val="ListBullet"/>
      </w:pPr>
      <w:r>
        <w:t>帳務與發票問題：22%（1,852件）</w:t>
      </w:r>
    </w:p>
    <w:p>
      <w:pPr>
        <w:pStyle w:val="ListBullet"/>
      </w:pPr>
      <w:r>
        <w:t>功能諮詢與使用說明：20%（1,684件）</w:t>
      </w:r>
    </w:p>
    <w:p>
      <w:pPr>
        <w:pStyle w:val="ListBullet"/>
      </w:pPr>
      <w:r>
        <w:t>退換貨與售後服務：12%（1,010件）</w:t>
      </w:r>
    </w:p>
    <w:p>
      <w:pPr>
        <w:pStyle w:val="ListBullet"/>
      </w:pPr>
      <w:r>
        <w:t>其他申訴與建議：8%（674件）</w:t>
      </w:r>
    </w:p>
    <w:p>
      <w:pPr>
        <w:pStyle w:val="Heading1"/>
      </w:pPr>
      <w:r>
        <w:t>四、改善行動計畫</w:t>
      </w:r>
    </w:p>
    <w:p>
      <w:r>
        <w:t>針對本季發現的主要問題，客服部門提出以下改善措施：(1) 建置智慧客服機器人，預計可自動處理30%常見問題，降低人工負荷；(2) 強化技術支援團隊，招募3名資深技術客服工程師；(3) 優化線上自助服務入口，更新知識庫文章，目標覆蓋率達80%以上。</w:t>
      </w:r>
    </w:p>
    <w:p>
      <w:pPr>
        <w:pStyle w:val="Heading1"/>
      </w:pPr>
      <w:r>
        <w:t>五、下季目標</w:t>
      </w:r>
    </w:p>
    <w:p>
      <w:pPr>
        <w:pStyle w:val="ListBullet"/>
      </w:pPr>
      <w:r>
        <w:t>CSAT目標：90%以上</w:t>
      </w:r>
    </w:p>
    <w:p>
      <w:pPr>
        <w:pStyle w:val="ListBullet"/>
      </w:pPr>
      <w:r>
        <w:t>NPS目標：55分以上</w:t>
      </w:r>
    </w:p>
    <w:p>
      <w:pPr>
        <w:pStyle w:val="ListBullet"/>
      </w:pPr>
      <w:r>
        <w:t>平均回應時間：縮短至3.0小時以內</w:t>
      </w:r>
    </w:p>
    <w:p>
      <w:pPr>
        <w:pStyle w:val="ListBullet"/>
      </w:pPr>
      <w:r>
        <w:t>首次解決率（FCR）：78%以上</w:t>
      </w:r>
    </w:p>
    <w:p>
      <w:pPr>
        <w:pStyle w:val="ListBullet"/>
      </w:pPr>
      <w:r>
        <w:t>自動化處理率：導入AI後達30%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