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新世代ERP系統開發專案計畫書</w:t>
      </w:r>
    </w:p>
    <w:p>
      <w:pPr>
        <w:jc w:val="center"/>
      </w:pPr>
      <w:r>
        <w:rPr>
          <w:color w:val="707070"/>
          <w:sz w:val="20"/>
        </w:rPr>
        <w:t>專案代碼：PROJ-2024-ERP-001　｜　版本：v1.3　｜　日期：2024年11月1日</w:t>
      </w:r>
    </w:p>
    <w:p>
      <w:pPr>
        <w:pStyle w:val="Heading1"/>
      </w:pPr>
      <w:r>
        <w:t>1. 專案概述</w:t>
      </w:r>
    </w:p>
    <w:p>
      <w:r>
        <w:t>本專案旨在開發符合台灣中型製造業需求的新世代ERP（企業資源規劃）系統，導入AI智慧排程、即時供應鏈可視化及行動化操作介面等創新功能。預計專案總工期18個月，開發預算上限為新台幣2,800萬元。</w:t>
      </w:r>
    </w:p>
    <w:p>
      <w:pPr>
        <w:pStyle w:val="Heading1"/>
      </w:pPr>
      <w:r>
        <w:t>2. 專案範疇</w:t>
      </w:r>
    </w:p>
    <w:p>
      <w:r>
        <w:t>本次ERP系統開發涵蓋以下核心模組：</w:t>
      </w:r>
    </w:p>
    <w:p>
      <w:pPr>
        <w:pStyle w:val="ListBullet"/>
      </w:pPr>
      <w:r>
        <w:t>財務會計模組（應收、應付、總帳、固定資產）</w:t>
      </w:r>
    </w:p>
    <w:p>
      <w:pPr>
        <w:pStyle w:val="ListBullet"/>
      </w:pPr>
      <w:r>
        <w:t>生產製造模組（BOM管理、工單排程、品質管控）</w:t>
      </w:r>
    </w:p>
    <w:p>
      <w:pPr>
        <w:pStyle w:val="ListBullet"/>
      </w:pPr>
      <w:r>
        <w:t>供應鏈模組（採購、倉儲、物流追蹤）</w:t>
      </w:r>
    </w:p>
    <w:p>
      <w:pPr>
        <w:pStyle w:val="ListBullet"/>
      </w:pPr>
      <w:r>
        <w:t>HR模組（薪資、出勤、績效考核）</w:t>
      </w:r>
    </w:p>
    <w:p>
      <w:pPr>
        <w:pStyle w:val="ListBullet"/>
      </w:pPr>
      <w:r>
        <w:t>BI報表模組（即時儀表板、預測分析）</w:t>
      </w:r>
    </w:p>
    <w:p>
      <w:pPr>
        <w:pStyle w:val="Heading1"/>
      </w:pPr>
      <w:r>
        <w:t>3. 時程規劃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階段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工作內容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時程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里程碑</w:t>
            </w:r>
          </w:p>
        </w:tc>
      </w:tr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需求分析與系統設計</w:t>
            </w:r>
          </w:p>
        </w:tc>
        <w:tc>
          <w:tcPr>
            <w:tcW w:type="dxa" w:w="2160"/>
          </w:tcPr>
          <w:p>
            <w:r>
              <w:t>2024/11 - 2025/01</w:t>
            </w:r>
          </w:p>
        </w:tc>
        <w:tc>
          <w:tcPr>
            <w:tcW w:type="dxa" w:w="2160"/>
          </w:tcPr>
          <w:p>
            <w:r>
              <w:t>設計文件核准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核心模組開發</w:t>
            </w:r>
          </w:p>
        </w:tc>
        <w:tc>
          <w:tcPr>
            <w:tcW w:type="dxa" w:w="2160"/>
          </w:tcPr>
          <w:p>
            <w:r>
              <w:t>2025/02 - 2025/07</w:t>
            </w:r>
          </w:p>
        </w:tc>
        <w:tc>
          <w:tcPr>
            <w:tcW w:type="dxa" w:w="2160"/>
          </w:tcPr>
          <w:p>
            <w:r>
              <w:t>內部UAT完成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整合測試與試點</w:t>
            </w:r>
          </w:p>
        </w:tc>
        <w:tc>
          <w:tcPr>
            <w:tcW w:type="dxa" w:w="2160"/>
          </w:tcPr>
          <w:p>
            <w:r>
              <w:t>2025/08 - 2025/10</w:t>
            </w:r>
          </w:p>
        </w:tc>
        <w:tc>
          <w:tcPr>
            <w:tcW w:type="dxa" w:w="2160"/>
          </w:tcPr>
          <w:p>
            <w:r>
              <w:t>試點客戶上線</w:t>
            </w:r>
          </w:p>
        </w:tc>
      </w:tr>
      <w:tr>
        <w:tc>
          <w:tcPr>
            <w:tcW w:type="dxa" w:w="2160"/>
          </w:tcPr>
          <w:p>
            <w:r>
              <w:t>Phase 4</w:t>
            </w:r>
          </w:p>
        </w:tc>
        <w:tc>
          <w:tcPr>
            <w:tcW w:type="dxa" w:w="2160"/>
          </w:tcPr>
          <w:p>
            <w:r>
              <w:t>正式上線與優化</w:t>
            </w:r>
          </w:p>
        </w:tc>
        <w:tc>
          <w:tcPr>
            <w:tcW w:type="dxa" w:w="2160"/>
          </w:tcPr>
          <w:p>
            <w:r>
              <w:t>2025/11 - 2026/04</w:t>
            </w:r>
          </w:p>
        </w:tc>
        <w:tc>
          <w:tcPr>
            <w:tcW w:type="dxa" w:w="2160"/>
          </w:tcPr>
          <w:p>
            <w:r>
              <w:t>全量部署完成</w:t>
            </w:r>
          </w:p>
        </w:tc>
      </w:tr>
    </w:tbl>
    <w:p>
      <w:pPr>
        <w:pStyle w:val="Heading1"/>
      </w:pPr>
      <w:r>
        <w:t>4. 風險管理</w:t>
      </w:r>
    </w:p>
    <w:p>
      <w:r>
        <w:t>主要風險包括：(1) 需求變更頻繁導致開發延誤，應對措施為採用敏捷開發方法論並設置需求凍結機制；(2) 核心技術人力流失，應對措施為建立知識管理系統及交叉訓練計畫；(3) 客戶端資料遷移問題，應對措施為提前進行資料盤點及清洗，並安排3次模擬遷移演練。</w:t>
      </w:r>
    </w:p>
    <w:p>
      <w:pPr>
        <w:pStyle w:val="Heading1"/>
      </w:pPr>
      <w:r>
        <w:t>5. 預算摘要</w:t>
      </w:r>
    </w:p>
    <w:p>
      <w:r>
        <w:t>人力成本：新台幣1,680萬元（佔60%）</w:t>
        <w:br/>
        <w:t>軟硬體採購：新台幣560萬元（佔20%）</w:t>
        <w:br/>
        <w:t>外部顧問費：新台幣420萬元（佔15%）</w:t>
        <w:br/>
        <w:t>其他雜支：新台幣140萬元（佔5%）</w:t>
        <w:br/>
        <w:t>合計：新台幣2,800萬元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