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7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2187"/>
        <w:gridCol w:w="1475"/>
        <w:gridCol w:w="2313"/>
      </w:tblGrid>
      <w:tr w14:paraId="1489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top"/>
          </w:tcPr>
          <w:p w14:paraId="62C45C76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Resnet18</w:t>
            </w:r>
          </w:p>
        </w:tc>
        <w:tc>
          <w:tcPr>
            <w:tcW w:w="2187" w:type="dxa"/>
            <w:vAlign w:val="top"/>
          </w:tcPr>
          <w:p w14:paraId="41BC89E9">
            <w:pPr>
              <w:tabs>
                <w:tab w:val="right" w:pos="2219"/>
              </w:tabs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单张推理延迟（ms）</w:t>
            </w:r>
          </w:p>
        </w:tc>
        <w:tc>
          <w:tcPr>
            <w:tcW w:w="1475" w:type="dxa"/>
            <w:vAlign w:val="top"/>
          </w:tcPr>
          <w:p w14:paraId="72E0501E">
            <w:pPr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吞吐(img/s)</w:t>
            </w:r>
          </w:p>
        </w:tc>
        <w:tc>
          <w:tcPr>
            <w:tcW w:w="2313" w:type="dxa"/>
            <w:vAlign w:val="top"/>
          </w:tcPr>
          <w:p w14:paraId="630A2651">
            <w:pPr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图片1(top1置信度)</w:t>
            </w:r>
          </w:p>
        </w:tc>
      </w:tr>
      <w:tr w14:paraId="2F8C1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top"/>
          </w:tcPr>
          <w:p w14:paraId="6BD7EA4D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CPU</w:t>
            </w:r>
          </w:p>
        </w:tc>
        <w:tc>
          <w:tcPr>
            <w:tcW w:w="2187" w:type="dxa"/>
            <w:vAlign w:val="top"/>
          </w:tcPr>
          <w:p w14:paraId="75A97240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13.768</w:t>
            </w:r>
          </w:p>
        </w:tc>
        <w:tc>
          <w:tcPr>
            <w:tcW w:w="1475" w:type="dxa"/>
            <w:vAlign w:val="top"/>
          </w:tcPr>
          <w:p w14:paraId="7190C6C7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67</w:t>
            </w:r>
          </w:p>
        </w:tc>
        <w:tc>
          <w:tcPr>
            <w:tcW w:w="2313" w:type="dxa"/>
            <w:vAlign w:val="top"/>
          </w:tcPr>
          <w:p w14:paraId="4AF31CD2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30.62</w:t>
            </w:r>
          </w:p>
        </w:tc>
      </w:tr>
      <w:tr w14:paraId="6D4AB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2800" w:type="dxa"/>
            <w:vAlign w:val="top"/>
          </w:tcPr>
          <w:p w14:paraId="11082FE5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TPU f16</w:t>
            </w:r>
          </w:p>
        </w:tc>
        <w:tc>
          <w:tcPr>
            <w:tcW w:w="2187" w:type="dxa"/>
            <w:vAlign w:val="top"/>
          </w:tcPr>
          <w:p w14:paraId="7C7312F5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1.102</w:t>
            </w:r>
          </w:p>
        </w:tc>
        <w:tc>
          <w:tcPr>
            <w:tcW w:w="1475" w:type="dxa"/>
            <w:vAlign w:val="top"/>
          </w:tcPr>
          <w:p w14:paraId="62F10DE9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912</w:t>
            </w:r>
          </w:p>
        </w:tc>
        <w:tc>
          <w:tcPr>
            <w:tcW w:w="2313" w:type="dxa"/>
            <w:vAlign w:val="top"/>
          </w:tcPr>
          <w:p w14:paraId="4141B52E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30.66</w:t>
            </w:r>
          </w:p>
        </w:tc>
      </w:tr>
      <w:tr w14:paraId="57D9B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top"/>
          </w:tcPr>
          <w:p w14:paraId="2F1C9ABB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TPU int8</w:t>
            </w:r>
          </w:p>
        </w:tc>
        <w:tc>
          <w:tcPr>
            <w:tcW w:w="2187" w:type="dxa"/>
            <w:tcBorders>
              <w:bottom w:val="single" w:color="auto" w:sz="4" w:space="0"/>
            </w:tcBorders>
            <w:vAlign w:val="top"/>
          </w:tcPr>
          <w:p w14:paraId="6A013A56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0.758</w:t>
            </w:r>
          </w:p>
        </w:tc>
        <w:tc>
          <w:tcPr>
            <w:tcW w:w="1475" w:type="dxa"/>
            <w:tcBorders>
              <w:bottom w:val="single" w:color="auto" w:sz="4" w:space="0"/>
            </w:tcBorders>
            <w:vAlign w:val="top"/>
          </w:tcPr>
          <w:p w14:paraId="109C7687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1314</w:t>
            </w:r>
          </w:p>
        </w:tc>
        <w:tc>
          <w:tcPr>
            <w:tcW w:w="2313" w:type="dxa"/>
            <w:tcBorders>
              <w:bottom w:val="single" w:color="auto" w:sz="4" w:space="0"/>
            </w:tcBorders>
            <w:vAlign w:val="top"/>
          </w:tcPr>
          <w:p w14:paraId="2975D0AE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26.91</w:t>
            </w:r>
          </w:p>
        </w:tc>
      </w:tr>
      <w:tr w14:paraId="13A68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Borders>
              <w:right w:val="single" w:color="auto" w:sz="4" w:space="0"/>
            </w:tcBorders>
            <w:vAlign w:val="top"/>
          </w:tcPr>
          <w:p w14:paraId="57E81346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Per_channel</w:t>
            </w:r>
          </w:p>
        </w:tc>
        <w:tc>
          <w:tcPr>
            <w:tcW w:w="218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top"/>
          </w:tcPr>
          <w:p w14:paraId="5EBAA600">
            <w:pPr>
              <w:jc w:val="center"/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47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top"/>
          </w:tcPr>
          <w:p w14:paraId="5909B9F9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与int8一致</w:t>
            </w:r>
          </w:p>
        </w:tc>
        <w:tc>
          <w:tcPr>
            <w:tcW w:w="2313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top"/>
          </w:tcPr>
          <w:p w14:paraId="32580217">
            <w:pPr>
              <w:jc w:val="center"/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</w:pPr>
          </w:p>
        </w:tc>
      </w:tr>
      <w:tr w14:paraId="50EA6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Borders>
              <w:right w:val="single" w:color="auto" w:sz="4" w:space="0"/>
            </w:tcBorders>
            <w:vAlign w:val="top"/>
          </w:tcPr>
          <w:p w14:paraId="074D84AF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混合量化</w:t>
            </w:r>
          </w:p>
        </w:tc>
        <w:tc>
          <w:tcPr>
            <w:tcW w:w="218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p w14:paraId="70F99E18">
            <w:pPr>
              <w:jc w:val="center"/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top"/>
          </w:tcPr>
          <w:p w14:paraId="0392781C">
            <w:pPr>
              <w:jc w:val="center"/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</w:pPr>
          </w:p>
        </w:tc>
        <w:tc>
          <w:tcPr>
            <w:tcW w:w="2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23148A0C">
            <w:pPr>
              <w:jc w:val="center"/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</w:pPr>
          </w:p>
        </w:tc>
      </w:tr>
      <w:tr w14:paraId="78F7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top"/>
          </w:tcPr>
          <w:p w14:paraId="37EC71EC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权重均衡化</w:t>
            </w:r>
          </w:p>
        </w:tc>
        <w:tc>
          <w:tcPr>
            <w:tcW w:w="2187" w:type="dxa"/>
            <w:tcBorders>
              <w:top w:val="single" w:color="auto" w:sz="4" w:space="0"/>
            </w:tcBorders>
            <w:vAlign w:val="top"/>
          </w:tcPr>
          <w:p w14:paraId="51FE6D06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0.854</w:t>
            </w:r>
          </w:p>
        </w:tc>
        <w:tc>
          <w:tcPr>
            <w:tcW w:w="1475" w:type="dxa"/>
            <w:tcBorders>
              <w:top w:val="single" w:color="auto" w:sz="4" w:space="0"/>
            </w:tcBorders>
            <w:vAlign w:val="top"/>
          </w:tcPr>
          <w:p w14:paraId="5D78EC7F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1161</w:t>
            </w:r>
          </w:p>
        </w:tc>
        <w:tc>
          <w:tcPr>
            <w:tcW w:w="2313" w:type="dxa"/>
            <w:tcBorders>
              <w:top w:val="single" w:color="auto" w:sz="4" w:space="0"/>
            </w:tcBorders>
            <w:vAlign w:val="top"/>
          </w:tcPr>
          <w:p w14:paraId="695A8E3F">
            <w:pPr>
              <w:jc w:val="center"/>
              <w:rPr>
                <w:rFonts w:hint="default" w:ascii="Times New Roman" w:hAnsi="Times New Roman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vertAlign w:val="baseline"/>
                <w:lang w:val="en-US" w:eastAsia="zh-CN"/>
              </w:rPr>
              <w:t>28.82</w:t>
            </w:r>
          </w:p>
        </w:tc>
      </w:tr>
    </w:tbl>
    <w:p w14:paraId="5E605D27"/>
    <w:p w14:paraId="4FB11112"/>
    <w:p w14:paraId="120BE68F">
      <w:pPr>
        <w:rPr>
          <w:rFonts w:ascii="Times New Roman" w:hAnsi="Times New Roman"/>
          <w:sz w:val="24"/>
        </w:rPr>
      </w:pPr>
    </w:p>
    <w:p w14:paraId="7199A923">
      <w:pPr>
        <w:rPr>
          <w:rFonts w:ascii="Times New Roman" w:hAnsi="Times New Roman"/>
          <w:sz w:val="24"/>
        </w:rPr>
      </w:pPr>
    </w:p>
    <w:p w14:paraId="753FEC79">
      <w:pPr>
        <w:rPr>
          <w:rFonts w:ascii="Times New Roman" w:hAnsi="Times New Roman"/>
          <w:sz w:val="24"/>
        </w:rPr>
      </w:pPr>
    </w:p>
    <w:p w14:paraId="7D2509B9">
      <w:pPr>
        <w:numPr>
          <w:ilvl w:val="0"/>
          <w:numId w:val="0"/>
        </w:numPr>
        <w:rPr>
          <w:rFonts w:hint="eastAsia" w:ascii="Times New Roman" w:hAnsi="Times New Roman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per_channel</w:t>
      </w:r>
    </w:p>
    <w:p w14:paraId="29BBCD90">
      <w:pPr>
        <w:widowControl w:val="0"/>
        <w:numPr>
          <w:numId w:val="0"/>
        </w:numPr>
        <w:ind w:firstLine="480" w:firstLineChars="200"/>
        <w:jc w:val="both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Per-Channel 量化为权重的每个输出通道独立计算 scale，解决 Per-Tensor 因通道间数值范围差异大导致的精度下降。</w:t>
      </w:r>
    </w:p>
    <w:p w14:paraId="144ED734">
      <w:pPr>
        <w:widowControl w:val="0"/>
        <w:numPr>
          <w:numId w:val="0"/>
        </w:numPr>
        <w:ind w:firstLine="480" w:firstLineChars="200"/>
        <w:jc w:val="both"/>
        <w:rPr>
          <w:rFonts w:hint="eastAsia" w:ascii="Times New Roman" w:hAnsi="Times New Roman"/>
          <w:sz w:val="24"/>
          <w:lang w:val="en-US" w:eastAsia="zh-CN"/>
        </w:rPr>
      </w:pPr>
    </w:p>
    <w:p w14:paraId="114F5D82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假设一个 MatMul 权重有 3 个输出通道：</w:t>
      </w:r>
    </w:p>
    <w:p w14:paraId="0670B8F5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    OC0: [ 0.01,  0.03, -0.02]    max=0.03</w:t>
      </w:r>
    </w:p>
    <w:p w14:paraId="384F94E4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    OC1: [ 0.80,  1.20, -0.90]    max=1.2</w:t>
      </w:r>
    </w:p>
    <w:p w14:paraId="49568421">
      <w:pPr>
        <w:widowControl w:val="0"/>
        <w:numPr>
          <w:ilvl w:val="0"/>
          <w:numId w:val="0"/>
        </w:numPr>
        <w:ind w:firstLine="480"/>
        <w:jc w:val="both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OC2: [ 0.02,  0.01, -0.03]    max=0.03,</w:t>
      </w:r>
    </w:p>
    <w:p w14:paraId="518C9E31">
      <w:pPr>
        <w:widowControl w:val="0"/>
        <w:numPr>
          <w:numId w:val="0"/>
        </w:numPr>
        <w:ind w:firstLine="480" w:firstLineChars="200"/>
        <w:jc w:val="both"/>
        <w:rPr>
          <w:rFonts w:hint="eastAsia" w:ascii="Times New Roman" w:hAnsi="Times New Roman"/>
          <w:sz w:val="24"/>
          <w:lang w:val="en-US" w:eastAsia="zh-CN"/>
        </w:rPr>
      </w:pPr>
    </w:p>
    <w:p w14:paraId="23EBA48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量化公式：</w:t>
      </w:r>
    </w:p>
    <w:p w14:paraId="1112197D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scale = max(|通道|)/127</w:t>
      </w:r>
    </w:p>
    <w:p w14:paraId="506D9F4D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scale 就是量化"步长"——每变化 1 个 INT8，代表浮点变化 scale 这么大。</w:t>
      </w:r>
    </w:p>
    <w:p w14:paraId="0A452494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W_int8= round( W_fp32 / scale )</w:t>
      </w:r>
    </w:p>
    <w:p w14:paraId="0CCCF2DC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反量化</w:t>
      </w:r>
    </w:p>
    <w:p w14:paraId="6EB406E4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W_fp32' = W_int8×scale</w:t>
      </w:r>
    </w:p>
    <w:p w14:paraId="7E03DD0F">
      <w:pPr>
        <w:widowControl w:val="0"/>
        <w:numPr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</w:p>
    <w:p w14:paraId="1836EF51">
      <w:pPr>
        <w:widowControl w:val="0"/>
        <w:numPr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Per-Tensor:  </w:t>
      </w:r>
    </w:p>
    <w:p w14:paraId="1DB5E7D2">
      <w:pPr>
        <w:widowControl w:val="0"/>
        <w:numPr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三条通道共用一个 scale = 1.20/127 。OC1 占满 INT8，OC0/OC2 被压缩到 ~1% 精度，几乎归零</w:t>
      </w:r>
    </w:p>
    <w:p w14:paraId="440061FE">
      <w:pPr>
        <w:widowControl w:val="0"/>
        <w:numPr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Per-Channel:</w:t>
      </w:r>
    </w:p>
    <w:p w14:paraId="30FF63F5">
      <w:pPr>
        <w:widowControl w:val="0"/>
        <w:numPr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 xml:space="preserve"> 每条通道各自 </w:t>
      </w:r>
      <w:r>
        <w:rPr>
          <w:rFonts w:hint="eastAsia" w:ascii="Times New Roman" w:hAnsi="Times New Roman"/>
          <w:sz w:val="24"/>
          <w:lang w:val="en-US" w:eastAsia="zh-CN"/>
        </w:rPr>
        <w:t>scale = max(|通道|)/127</w:t>
      </w:r>
      <w:r>
        <w:rPr>
          <w:rFonts w:hint="eastAsia" w:ascii="Times New Roman" w:hAnsi="Times New Roman"/>
          <w:sz w:val="24"/>
          <w:lang w:val="en-US" w:eastAsia="zh-CN"/>
        </w:rPr>
        <w:t>,所有通道均匀利用 [-127,127]。</w:t>
      </w:r>
    </w:p>
    <w:p w14:paraId="4D83D634">
      <w:pPr>
        <w:widowControl w:val="0"/>
        <w:numPr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</w:p>
    <w:p w14:paraId="487FC8CC">
      <w:pPr>
        <w:widowControl w:val="0"/>
        <w:numPr>
          <w:numId w:val="0"/>
        </w:numPr>
        <w:jc w:val="both"/>
        <w:rPr>
          <w:rFonts w:hint="eastAsia" w:ascii="Times New Roman" w:hAnsi="Times New Roman"/>
          <w:sz w:val="24"/>
          <w:lang w:val="en-US" w:eastAsia="zh-CN"/>
        </w:rPr>
      </w:pPr>
    </w:p>
    <w:p w14:paraId="5FFB435A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目前per_channel方法只支持matmul。</w:t>
      </w:r>
    </w:p>
    <w:p w14:paraId="3C71898C">
      <w:pPr>
        <w:widowControl w:val="0"/>
        <w:numPr>
          <w:numId w:val="0"/>
        </w:numPr>
        <w:jc w:val="both"/>
        <w:rPr>
          <w:rFonts w:hint="eastAsia" w:ascii="Times New Roman" w:hAnsi="Times New Roman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</w:p>
    <w:p w14:paraId="0B118F34">
      <w:pPr>
        <w:widowControl w:val="0"/>
        <w:numPr>
          <w:numId w:val="0"/>
        </w:numPr>
        <w:jc w:val="both"/>
        <w:rPr>
          <w:rFonts w:hint="eastAsia" w:ascii="Times New Roman" w:hAnsi="Times New Roman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</w:p>
    <w:p w14:paraId="5EB5ECAD">
      <w:pPr>
        <w:widowControl w:val="0"/>
        <w:numPr>
          <w:numId w:val="0"/>
        </w:numPr>
        <w:jc w:val="both"/>
        <w:rPr>
          <w:rFonts w:hint="eastAsia" w:ascii="Times New Roman" w:hAnsi="Times New Roman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</w:p>
    <w:p w14:paraId="720409B2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/>
          <w:color w:val="E54C5E" w:themeColor="accent6"/>
          <w:sz w:val="24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Times New Roman" w:hAnsi="Times New Roman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混合量化</w:t>
      </w:r>
      <w:bookmarkStart w:id="0" w:name="_GoBack"/>
      <w:bookmarkEnd w:id="0"/>
    </w:p>
    <w:p w14:paraId="3D39853D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2E54BA51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4E7CF281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eastAsia" w:ascii="Times New Roman" w:hAnsi="Times New Roman"/>
          <w:sz w:val="24"/>
          <w:lang w:val="en-US" w:eastAsia="zh-CN"/>
        </w:rPr>
        <w:t>全</w:t>
      </w:r>
      <w:r>
        <w:rPr>
          <w:rFonts w:hint="default" w:ascii="Times New Roman" w:hAnsi="Times New Roman"/>
          <w:sz w:val="24"/>
          <w:lang w:val="en-US" w:eastAsia="zh-CN"/>
        </w:rPr>
        <w:t>INT8:  █████████████████████████████████████████</w:t>
      </w:r>
    </w:p>
    <w:p w14:paraId="4A6EF547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 xml:space="preserve">                (全部层 INT8)                     </w:t>
      </w:r>
    </w:p>
    <w:p w14:paraId="6966BB2C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 xml:space="preserve">                                                                   </w:t>
      </w:r>
    </w:p>
    <w:p w14:paraId="5777F2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>混合精度:████ F16 ███████████████ F16 ██████████████</w:t>
      </w:r>
      <w:r>
        <w:rPr>
          <w:rFonts w:hint="default" w:ascii="Times New Roman" w:hAnsi="Times New Roman"/>
          <w:sz w:val="24"/>
          <w:lang w:val="en-US" w:eastAsia="zh-CN"/>
        </w:rPr>
        <w:t>█</w:t>
      </w:r>
    </w:p>
    <w:p w14:paraId="54EE7A6D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 xml:space="preserve">              </w:t>
      </w:r>
      <w:r>
        <w:rPr>
          <w:rFonts w:hint="eastAsia" w:ascii="Times New Roman" w:hAnsi="Times New Roman"/>
          <w:sz w:val="24"/>
          <w:lang w:val="en-US" w:eastAsia="zh-CN"/>
        </w:rPr>
        <w:t xml:space="preserve">  </w:t>
      </w:r>
      <w:r>
        <w:rPr>
          <w:rFonts w:hint="default" w:ascii="Times New Roman" w:hAnsi="Times New Roman"/>
          <w:sz w:val="24"/>
          <w:lang w:val="en-US" w:eastAsia="zh-CN"/>
        </w:rPr>
        <w:t>(</w:t>
      </w:r>
      <w:r>
        <w:rPr>
          <w:rFonts w:hint="eastAsia" w:ascii="Times New Roman" w:hAnsi="Times New Roman"/>
          <w:sz w:val="24"/>
          <w:lang w:val="en-US" w:eastAsia="zh-CN"/>
        </w:rPr>
        <w:t>部分</w:t>
      </w:r>
      <w:r>
        <w:rPr>
          <w:rFonts w:hint="default" w:ascii="Times New Roman" w:hAnsi="Times New Roman"/>
          <w:sz w:val="24"/>
          <w:lang w:val="en-US" w:eastAsia="zh-CN"/>
        </w:rPr>
        <w:t xml:space="preserve">层敏感层用 F16, 其余层 INT8)                  </w:t>
      </w:r>
    </w:p>
    <w:p w14:paraId="37AFC594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</w:p>
    <w:p w14:paraId="5674492E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 xml:space="preserve"> 核心指标：余弦相似度 (Cosine Similarity)</w:t>
      </w:r>
    </w:p>
    <w:p w14:paraId="376945E2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 xml:space="preserve">  cos(a, b) = a·b / (|a| × |b|)</w:t>
      </w:r>
    </w:p>
    <w:p w14:paraId="6247A8C9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 xml:space="preserve"> 量化后输出 vs FP32 输出, cos 越接近 1.0 说明越"像"。</w:t>
      </w:r>
    </w:p>
    <w:p w14:paraId="034D65EB">
      <w:pPr>
        <w:keepNext w:val="0"/>
        <w:keepLines w:val="0"/>
        <w:pageBreakBefore w:val="0"/>
        <w:widowControl w:val="0"/>
        <w:numPr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="Times New Roman" w:hAnsi="Times New Roman"/>
          <w:sz w:val="24"/>
          <w:lang w:val="en-US" w:eastAsia="zh-CN"/>
        </w:rPr>
      </w:pPr>
      <w:r>
        <w:rPr>
          <w:rFonts w:hint="default" w:ascii="Times New Roman" w:hAnsi="Times New Roman"/>
          <w:sz w:val="24"/>
          <w:lang w:val="en-US" w:eastAsia="zh-CN"/>
        </w:rPr>
        <w:t xml:space="preserve">  cos &lt; 0.99 → 该层被量化"破坏"了 → 敏感层          </w:t>
      </w:r>
    </w:p>
    <w:p w14:paraId="67D77E67">
      <w:pPr>
        <w:widowControl w:val="0"/>
        <w:numPr>
          <w:numId w:val="0"/>
        </w:numPr>
        <w:jc w:val="both"/>
        <w:rPr>
          <w:rFonts w:hint="default" w:ascii="Times New Roman" w:hAnsi="Times New Roman"/>
          <w:sz w:val="24"/>
          <w:lang w:val="en-US" w:eastAsia="zh-CN"/>
        </w:rPr>
      </w:pPr>
    </w:p>
    <w:p w14:paraId="79686EE3">
      <w:pPr>
        <w:numPr>
          <w:ilvl w:val="0"/>
          <w:numId w:val="0"/>
        </w:numPr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color w:val="E54C5E" w:themeColor="accent6"/>
          <w:sz w:val="28"/>
          <w:szCs w:val="28"/>
          <w:lang w:val="en-US" w:eastAsia="zh-CN"/>
          <w14:textFill>
            <w14:solidFill>
              <w14:schemeClr w14:val="accent6"/>
            </w14:solidFill>
          </w14:textFill>
        </w:rPr>
        <w:t>权重均衡化</w:t>
      </w:r>
    </w:p>
    <w:p w14:paraId="73DEF6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量化 Conv 层时，一个常见问题是</w:t>
      </w:r>
      <w:r>
        <w:rPr>
          <w:rFonts w:hint="eastAsia" w:ascii="Times New Roman" w:hAnsi="Times New Roman"/>
          <w:color w:val="E54C5E" w:themeColor="accent6"/>
          <w:sz w:val="24"/>
          <w14:textFill>
            <w14:solidFill>
              <w14:schemeClr w14:val="accent6"/>
            </w14:solidFill>
          </w14:textFill>
        </w:rPr>
        <w:t>相邻 Conv 层</w:t>
      </w:r>
      <w:r>
        <w:rPr>
          <w:rFonts w:hint="eastAsia" w:ascii="Times New Roman" w:hAnsi="Times New Roman"/>
          <w:sz w:val="24"/>
        </w:rPr>
        <w:t>的输出通道之间权重范围差异巨大。</w:t>
      </w:r>
    </w:p>
    <w:p w14:paraId="26FE760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 </w:t>
      </w:r>
      <w:r>
        <w:rPr>
          <w:rFonts w:hint="eastAsia" w:ascii="Times New Roman" w:hAnsi="Times New Roman"/>
          <w:sz w:val="24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</w:rPr>
        <w:t xml:space="preserve">Conv1 的第 i 个输出通道: 权重范围 [ -0.01, +0.01 ]  (小范围)     </w:t>
      </w:r>
    </w:p>
    <w:p w14:paraId="1082C1C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</w:t>
      </w:r>
      <w:r>
        <w:rPr>
          <w:rFonts w:hint="eastAsia" w:ascii="Times New Roman" w:hAnsi="Times New Roman"/>
          <w:sz w:val="24"/>
          <w:lang w:val="en-US" w:eastAsia="zh-CN"/>
        </w:rPr>
        <w:t xml:space="preserve">     </w:t>
      </w:r>
      <w:r>
        <w:rPr>
          <w:rFonts w:hint="eastAsia" w:ascii="Times New Roman" w:hAnsi="Times New Roman"/>
          <w:sz w:val="24"/>
        </w:rPr>
        <w:t xml:space="preserve">Conv2 的第 i 个输入通道:  权重范围 [ -1.20, +1.20 ]  (大范围)          </w:t>
      </w:r>
    </w:p>
    <w:p w14:paraId="65F3649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问题：                                                           </w:t>
      </w:r>
    </w:p>
    <w:p w14:paraId="62A79A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720" w:firstLineChars="300"/>
        <w:textAlignment w:val="auto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Conv1 的通道 i 输出很小 → INT8 量化后有效精度位不足                Conv2 的通道 i 权重很大 → INT8 量化后该通道主导，</w:t>
      </w:r>
      <w:r>
        <w:rPr>
          <w:rFonts w:hint="eastAsia" w:ascii="Times New Roman" w:hAnsi="Times New Roman"/>
          <w:sz w:val="24"/>
          <w:lang w:val="en-US" w:eastAsia="zh-CN"/>
        </w:rPr>
        <w:t>放大小通道的量化噪声</w:t>
      </w:r>
      <w:r>
        <w:rPr>
          <w:rFonts w:hint="eastAsia" w:ascii="Times New Roman" w:hAnsi="Times New Roman"/>
          <w:sz w:val="24"/>
        </w:rPr>
        <w:t xml:space="preserve">  </w:t>
      </w:r>
    </w:p>
    <w:p w14:paraId="2D805E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720" w:firstLineChars="300"/>
        <w:textAlignment w:val="auto"/>
        <w:rPr>
          <w:rFonts w:hint="eastAsia" w:ascii="Times New Roman" w:hAnsi="Times New Roman"/>
          <w:sz w:val="24"/>
        </w:rPr>
      </w:pPr>
    </w:p>
    <w:p w14:paraId="304EFDE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80" w:hanging="480" w:hangingChars="200"/>
        <w:textAlignment w:val="auto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解决：                                                             </w:t>
      </w:r>
    </w:p>
    <w:p w14:paraId="08BB9AE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left="479" w:leftChars="114" w:hanging="240" w:hangingChars="100"/>
        <w:textAlignment w:val="auto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把 Conv1 输出通道 i 的权重放大 (÷s)，同时把 Conv2 输入通道 i 的权重缩小 (×s)，使两者范围均衡</w:t>
      </w:r>
      <w:r>
        <w:rPr>
          <w:rFonts w:hint="eastAsia" w:ascii="Times New Roman" w:hAnsi="Times New Roman"/>
          <w:sz w:val="24"/>
          <w:lang w:eastAsia="zh-CN"/>
        </w:rPr>
        <w:t>。</w:t>
      </w:r>
      <w:r>
        <w:rPr>
          <w:rFonts w:hint="eastAsia" w:ascii="Times New Roman" w:hAnsi="Times New Roman"/>
          <w:sz w:val="24"/>
          <w:lang w:val="en-US" w:eastAsia="zh-CN"/>
        </w:rPr>
        <w:t>其中</w:t>
      </w:r>
      <w:r>
        <w:rPr>
          <w:rFonts w:hint="eastAsia" w:ascii="Times New Roman" w:hAnsi="Times New Roman"/>
          <w:sz w:val="24"/>
        </w:rPr>
        <w:t xml:space="preserve">                                   </w:t>
      </w:r>
    </w:p>
    <w:p w14:paraId="1E206C8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720" w:firstLineChars="300"/>
        <w:textAlignment w:val="auto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s = range_1 / sqrt(range_1 × range_2)   </w:t>
      </w:r>
    </w:p>
    <w:p w14:paraId="6D45A472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720" w:firstLineChars="300"/>
        <w:textAlignment w:val="auto"/>
        <w:rPr>
          <w:rFonts w:hint="eastAsia" w:ascii="Times New Roman" w:hAnsi="Times New Roman"/>
          <w:sz w:val="24"/>
        </w:rPr>
      </w:pPr>
    </w:p>
    <w:p w14:paraId="330D026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630" w:firstLineChars="300"/>
        <w:textAlignment w:val="auto"/>
        <w:rPr>
          <w:rFonts w:hint="eastAsia" w:ascii="Times New Roman" w:hAnsi="Times New Roman"/>
          <w:sz w:val="24"/>
        </w:rPr>
      </w:pPr>
      <w:r>
        <w:drawing>
          <wp:inline distT="0" distB="0" distL="114300" distR="114300">
            <wp:extent cx="4635500" cy="137795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/>
          <w:sz w:val="24"/>
        </w:rPr>
        <w:t xml:space="preserve">            </w:t>
      </w:r>
    </w:p>
    <w:p w14:paraId="572FA77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 xml:space="preserve">    这样做不改变网络的数学等价性（Conv1 × s + Conv2 ÷ s = 原来的计算）。    </w:t>
      </w:r>
    </w:p>
    <w:p w14:paraId="50714E3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在相邻 Conv 层之间"搬运"数值范围，让每一层的权重分布更均匀，从而减少 INT8 量化的精度损失。对 Conv 为主的网络</w:t>
      </w:r>
      <w:r>
        <w:rPr>
          <w:rFonts w:hint="eastAsia" w:ascii="Times New Roman" w:hAnsi="Times New Roman"/>
          <w:sz w:val="24"/>
          <w:lang w:val="en-US" w:eastAsia="zh-CN"/>
        </w:rPr>
        <w:t>较为</w:t>
      </w:r>
      <w:r>
        <w:rPr>
          <w:rFonts w:hint="eastAsia" w:ascii="Times New Roman" w:hAnsi="Times New Roman"/>
          <w:sz w:val="24"/>
        </w:rPr>
        <w:t>有效。</w:t>
      </w:r>
    </w:p>
    <w:p w14:paraId="598325A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48B5B9F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432BA4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5A47720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796D7F7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55CDBB36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0C8F5177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4CDC51F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63C10FF5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711EEF4A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4822AC5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40ACEF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34515C8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08A45688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2F48BAEB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1E8EA80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6A0ECCB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06F297E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08C5785D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034D7E2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2A88BF9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/>
          <w:sz w:val="24"/>
        </w:rPr>
      </w:pPr>
    </w:p>
    <w:p w14:paraId="52DA8163">
      <w:pPr>
        <w:rPr>
          <w:rFonts w:ascii="Times New Roman" w:hAnsi="Times New Roman"/>
          <w:sz w:val="24"/>
        </w:rPr>
      </w:pPr>
    </w:p>
    <w:p w14:paraId="6A5866EE">
      <w:pPr>
        <w:rPr>
          <w:rFonts w:ascii="Times New Roman" w:hAnsi="Times New Roman"/>
          <w:sz w:val="24"/>
        </w:rPr>
      </w:pPr>
    </w:p>
    <w:p w14:paraId="4FD9316E">
      <w:pPr>
        <w:rPr>
          <w:rFonts w:ascii="Times New Roman" w:hAnsi="Times New Roman"/>
          <w:sz w:val="24"/>
        </w:rPr>
      </w:pPr>
    </w:p>
    <w:p w14:paraId="1AEC8489">
      <w:pPr>
        <w:rPr>
          <w:rFonts w:ascii="Times New Roman" w:hAnsi="Times New Roman"/>
          <w:sz w:val="24"/>
        </w:rPr>
      </w:pPr>
    </w:p>
    <w:p w14:paraId="346D30B6">
      <w:pPr>
        <w:rPr>
          <w:rFonts w:ascii="Times New Roman" w:hAnsi="Times New Roman"/>
          <w:sz w:val="24"/>
        </w:rPr>
      </w:pPr>
    </w:p>
    <w:p w14:paraId="174E39E9">
      <w:pPr>
        <w:rPr>
          <w:rFonts w:ascii="Times New Roman" w:hAnsi="Times New Roman"/>
          <w:sz w:val="24"/>
        </w:rPr>
      </w:pPr>
    </w:p>
    <w:p w14:paraId="53D44E55">
      <w:pPr>
        <w:rPr>
          <w:rFonts w:ascii="Times New Roman" w:hAnsi="Times New Roman"/>
          <w:sz w:val="24"/>
        </w:rPr>
      </w:pPr>
    </w:p>
    <w:p w14:paraId="5FA0EA7A">
      <w:pPr>
        <w:rPr>
          <w:rFonts w:ascii="Times New Roman" w:hAnsi="Times New Roman"/>
          <w:sz w:val="24"/>
        </w:rPr>
      </w:pPr>
    </w:p>
    <w:p w14:paraId="65626193">
      <w:pPr>
        <w:rPr>
          <w:rFonts w:ascii="Times New Roman" w:hAnsi="Times New Roman"/>
          <w:sz w:val="24"/>
        </w:rPr>
      </w:pPr>
    </w:p>
    <w:p w14:paraId="797DE596">
      <w:pPr>
        <w:rPr>
          <w:rFonts w:ascii="Times New Roman" w:hAnsi="Times New Roman"/>
          <w:sz w:val="24"/>
        </w:rPr>
      </w:pPr>
    </w:p>
    <w:p w14:paraId="4E97D03D">
      <w:pPr>
        <w:rPr>
          <w:rFonts w:ascii="Times New Roman" w:hAnsi="Times New Roman"/>
          <w:sz w:val="24"/>
        </w:rPr>
      </w:pPr>
    </w:p>
    <w:p w14:paraId="27FFE34E">
      <w:pPr>
        <w:rPr>
          <w:rFonts w:ascii="Times New Roman" w:hAnsi="Times New Roman"/>
          <w:sz w:val="24"/>
        </w:rPr>
      </w:pPr>
    </w:p>
    <w:p w14:paraId="2C4A8770">
      <w:pPr>
        <w:rPr>
          <w:rFonts w:ascii="Times New Roman" w:hAnsi="Times New Roman"/>
          <w:sz w:val="24"/>
        </w:rPr>
      </w:pPr>
    </w:p>
    <w:p w14:paraId="6ABC2125">
      <w:pPr>
        <w:rPr>
          <w:rFonts w:ascii="Times New Roman" w:hAnsi="Times New Roman"/>
          <w:sz w:val="24"/>
        </w:rPr>
      </w:pPr>
    </w:p>
    <w:p w14:paraId="76F2EA56">
      <w:pPr>
        <w:rPr>
          <w:rFonts w:ascii="Times New Roman" w:hAnsi="Times New Roman"/>
          <w:sz w:val="24"/>
        </w:rPr>
      </w:pPr>
    </w:p>
    <w:p w14:paraId="3A848B59">
      <w:pPr>
        <w:rPr>
          <w:rFonts w:ascii="Times New Roman" w:hAnsi="Times New Roman"/>
          <w:sz w:val="24"/>
        </w:rPr>
      </w:pPr>
    </w:p>
    <w:p w14:paraId="37EA18A9">
      <w:pPr>
        <w:rPr>
          <w:rFonts w:ascii="Times New Roman" w:hAnsi="Times New Roman"/>
          <w:sz w:val="24"/>
        </w:rPr>
      </w:pPr>
    </w:p>
    <w:p w14:paraId="6006E7A1">
      <w:pPr>
        <w:rPr>
          <w:rFonts w:ascii="Times New Roman" w:hAnsi="Times New Roman"/>
          <w:sz w:val="24"/>
        </w:rPr>
      </w:pPr>
    </w:p>
    <w:p w14:paraId="43E933CA">
      <w:pPr>
        <w:rPr>
          <w:rFonts w:ascii="Times New Roman" w:hAnsi="Times New Roman"/>
          <w:sz w:val="24"/>
        </w:rPr>
      </w:pPr>
    </w:p>
    <w:p w14:paraId="22FDE28D">
      <w:pPr>
        <w:rPr>
          <w:rFonts w:ascii="Times New Roman" w:hAnsi="Times New Roman"/>
          <w:sz w:val="24"/>
        </w:rPr>
      </w:pPr>
    </w:p>
    <w:p w14:paraId="3358DDE0">
      <w:pPr>
        <w:rPr>
          <w:rFonts w:ascii="Times New Roman" w:hAnsi="Times New Roman"/>
          <w:sz w:val="24"/>
        </w:rPr>
      </w:pPr>
    </w:p>
    <w:p w14:paraId="380ADBFE">
      <w:pPr>
        <w:rPr>
          <w:rFonts w:ascii="Times New Roman" w:hAnsi="Times New Roman"/>
          <w:sz w:val="24"/>
        </w:rPr>
      </w:pPr>
    </w:p>
    <w:p w14:paraId="2BCF6090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单张推理时间:0.853 ms/张</w:t>
      </w:r>
    </w:p>
    <w:p w14:paraId="0D1E73CA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吞吐:1173 img/s</w:t>
      </w:r>
    </w:p>
    <w:p w14:paraId="5AA09B5A">
      <w:pPr>
        <w:rPr>
          <w:rFonts w:ascii="Times New Roman" w:hAnsi="Times New Roman"/>
          <w:sz w:val="24"/>
        </w:rPr>
      </w:pPr>
    </w:p>
    <w:p w14:paraId="0BAD7226">
      <w:pPr>
        <w:rPr>
          <w:rFonts w:ascii="Times New Roman" w:hAnsi="Times New Roman"/>
          <w:sz w:val="24"/>
        </w:rPr>
      </w:pPr>
    </w:p>
    <w:p w14:paraId="39903811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单张推理时间:0.846 ms/张</w:t>
      </w:r>
    </w:p>
    <w:p w14:paraId="0246548D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吞吐:1157 img/s</w:t>
      </w:r>
    </w:p>
    <w:p w14:paraId="083B866D">
      <w:pPr>
        <w:rPr>
          <w:rFonts w:ascii="Times New Roman" w:hAnsi="Times New Roman"/>
          <w:sz w:val="24"/>
        </w:rPr>
      </w:pPr>
    </w:p>
    <w:p w14:paraId="6D8CE34B">
      <w:pPr>
        <w:rPr>
          <w:rFonts w:ascii="Times New Roman" w:hAnsi="Times New Roman"/>
          <w:sz w:val="24"/>
        </w:rPr>
      </w:pPr>
    </w:p>
    <w:p w14:paraId="2A6A6A63">
      <w:pPr>
        <w:rPr>
          <w:rFonts w:ascii="Times New Roman" w:hAnsi="Times New Roman"/>
          <w:sz w:val="24"/>
        </w:rPr>
      </w:pPr>
    </w:p>
    <w:p w14:paraId="5CFAAB57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单张推理时间:0.855 ms/张</w:t>
      </w:r>
    </w:p>
    <w:p w14:paraId="641242CA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吞吐:1161 img/s</w:t>
      </w:r>
    </w:p>
    <w:p w14:paraId="173FC53A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单张推理时间:0.872 ms/张</w:t>
      </w:r>
    </w:p>
    <w:p w14:paraId="10D089FB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吞吐:1156 img/s</w:t>
      </w:r>
    </w:p>
    <w:p w14:paraId="2FB710B3">
      <w:pPr>
        <w:rPr>
          <w:rFonts w:hint="eastAsia" w:ascii="Times New Roman" w:hAnsi="Times New Roman"/>
          <w:sz w:val="24"/>
        </w:rPr>
      </w:pPr>
    </w:p>
    <w:p w14:paraId="285412EB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单张推理时间:0.856 ms/张</w:t>
      </w:r>
    </w:p>
    <w:p w14:paraId="74952029">
      <w:pPr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吞吐:1158 img/s</w:t>
      </w:r>
    </w:p>
    <w:p w14:paraId="4B7BE86F">
      <w:pPr>
        <w:rPr>
          <w:rFonts w:hint="eastAsia" w:ascii="Times New Roman" w:hAnsi="Times New Roman"/>
          <w:sz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onospac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C53E1D"/>
    <w:rsid w:val="0BC5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4364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2026-07-29T11:53:00Z</dcterms:created>
  <dc:creator>H2O2</dc:creator>
  <cp:lastModifiedBy>H2O2</cp:lastModifiedBy>
  <dcterms:modified xsi:type="dcterms:W3CDTF">2026-08-11T12:55:22Z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F68F84A00412439DB1D119E0F0C372F2_11</vt:lpwstr>
  </property>
  <property fmtid="{D5CDD505-2E9C-101B-9397-08002B2CF9AE}" pid="4" name="KSOTemplateDocerSaveRecord">
    <vt:lpwstr>eyJoZGlkIjoiNjlhOWYxYjgzOWVlYjVmZTVmMDBhMWU5MzFiYTEzMzMiLCJ1c2VySWQiOiI4ODg3MzkzNjEifQ==</vt:lpwstr>
  </property>
</Properties>
</file>