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EF5C6">
      <w:pPr>
        <w:pStyle w:val="2"/>
        <w:spacing w:before="120" w:after="120"/>
        <w:ind w:right="384"/>
        <w:jc w:val="center"/>
        <w:rPr>
          <w:rFonts w:hint="eastAsia" w:ascii="仿宋" w:hAnsi="仿宋" w:eastAsia="仿宋" w:cs="仿宋_GB2312"/>
          <w:sz w:val="30"/>
          <w:szCs w:val="30"/>
        </w:rPr>
      </w:pPr>
      <w:bookmarkStart w:id="17" w:name="_GoBack"/>
      <w:bookmarkEnd w:id="17"/>
      <w:bookmarkStart w:id="0" w:name="_Toc129246285"/>
      <w:r>
        <w:rPr>
          <w:rFonts w:hint="eastAsia" w:ascii="仿宋" w:hAnsi="仿宋" w:eastAsia="仿宋" w:cs="仿宋_GB2312"/>
          <w:sz w:val="30"/>
          <w:szCs w:val="30"/>
        </w:rPr>
        <w:t>202</w:t>
      </w:r>
      <w:r>
        <w:rPr>
          <w:rFonts w:hint="eastAsia" w:ascii="仿宋" w:hAnsi="仿宋" w:eastAsia="仿宋" w:cs="仿宋_GB2312"/>
          <w:sz w:val="30"/>
          <w:szCs w:val="30"/>
          <w:lang w:val="en-US"/>
        </w:rPr>
        <w:t>6</w:t>
      </w:r>
      <w:r>
        <w:rPr>
          <w:rFonts w:hint="eastAsia" w:ascii="仿宋" w:hAnsi="仿宋" w:eastAsia="仿宋" w:cs="仿宋_GB2312"/>
          <w:sz w:val="30"/>
          <w:szCs w:val="30"/>
        </w:rPr>
        <w:t>年第</w:t>
      </w:r>
      <w:r>
        <w:rPr>
          <w:rFonts w:hint="eastAsia" w:ascii="仿宋" w:hAnsi="仿宋" w:eastAsia="仿宋" w:cs="仿宋_GB2312"/>
          <w:sz w:val="30"/>
          <w:szCs w:val="30"/>
          <w:lang w:val="en-US"/>
        </w:rPr>
        <w:t>十</w:t>
      </w:r>
      <w:r>
        <w:rPr>
          <w:rFonts w:hint="eastAsia" w:ascii="仿宋" w:hAnsi="仿宋" w:eastAsia="仿宋" w:cs="仿宋_GB2312"/>
          <w:sz w:val="30"/>
          <w:szCs w:val="30"/>
        </w:rPr>
        <w:t>届湖南省大学生物联网应用创新设计竞赛</w:t>
      </w:r>
    </w:p>
    <w:p w14:paraId="289F8ABC">
      <w:pPr>
        <w:pStyle w:val="2"/>
        <w:spacing w:before="120" w:after="120"/>
        <w:ind w:right="384"/>
        <w:jc w:val="center"/>
        <w:rPr>
          <w:rFonts w:hint="eastAsia" w:ascii="仿宋" w:hAnsi="仿宋" w:eastAsia="仿宋" w:cs="仿宋_GB2312"/>
          <w:sz w:val="30"/>
          <w:szCs w:val="30"/>
          <w:lang w:val="en-US"/>
        </w:rPr>
      </w:pPr>
      <w:r>
        <w:rPr>
          <w:rFonts w:hint="eastAsia" w:ascii="仿宋" w:hAnsi="仿宋" w:eastAsia="仿宋" w:cs="仿宋_GB2312"/>
          <w:sz w:val="30"/>
          <w:szCs w:val="30"/>
        </w:rPr>
        <w:t>技能赛竞赛细则</w:t>
      </w:r>
      <w:bookmarkEnd w:id="0"/>
    </w:p>
    <w:p w14:paraId="0B9A20B9">
      <w:pPr>
        <w:pStyle w:val="4"/>
        <w:spacing w:line="300" w:lineRule="auto"/>
        <w:ind w:firstLine="562" w:firstLineChars="200"/>
        <w:rPr>
          <w:rFonts w:hint="eastAsia" w:ascii="仿宋" w:hAnsi="仿宋" w:eastAsia="仿宋" w:cs="仿宋_GB2312"/>
          <w:b/>
          <w:sz w:val="28"/>
          <w:szCs w:val="28"/>
        </w:rPr>
      </w:pPr>
      <w:bookmarkStart w:id="1" w:name="_Toc7521"/>
      <w:bookmarkStart w:id="2" w:name="_Toc22182"/>
      <w:bookmarkStart w:id="3" w:name="_Toc28861"/>
      <w:bookmarkStart w:id="4" w:name="_Toc22884"/>
      <w:r>
        <w:rPr>
          <w:rFonts w:hint="eastAsia" w:ascii="仿宋" w:hAnsi="仿宋" w:eastAsia="仿宋" w:cs="仿宋_GB2312"/>
          <w:b/>
          <w:sz w:val="28"/>
          <w:szCs w:val="28"/>
        </w:rPr>
        <w:t>赛前准备:</w:t>
      </w:r>
      <w:bookmarkEnd w:id="1"/>
      <w:bookmarkEnd w:id="2"/>
      <w:bookmarkEnd w:id="3"/>
      <w:bookmarkEnd w:id="4"/>
    </w:p>
    <w:tbl>
      <w:tblPr>
        <w:tblStyle w:val="9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1394"/>
        <w:gridCol w:w="1123"/>
        <w:gridCol w:w="5051"/>
      </w:tblGrid>
      <w:tr w14:paraId="7BCA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vAlign w:val="center"/>
          </w:tcPr>
          <w:p w14:paraId="32E60531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序号</w:t>
            </w:r>
          </w:p>
        </w:tc>
        <w:tc>
          <w:tcPr>
            <w:tcW w:w="1394" w:type="dxa"/>
            <w:vAlign w:val="center"/>
          </w:tcPr>
          <w:p w14:paraId="3D61F42E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物品</w:t>
            </w:r>
          </w:p>
        </w:tc>
        <w:tc>
          <w:tcPr>
            <w:tcW w:w="1123" w:type="dxa"/>
            <w:vAlign w:val="center"/>
          </w:tcPr>
          <w:p w14:paraId="71E15835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数量</w:t>
            </w:r>
          </w:p>
        </w:tc>
        <w:tc>
          <w:tcPr>
            <w:tcW w:w="5051" w:type="dxa"/>
            <w:vAlign w:val="center"/>
          </w:tcPr>
          <w:p w14:paraId="6D01DEBD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说明</w:t>
            </w:r>
          </w:p>
        </w:tc>
      </w:tr>
      <w:tr w14:paraId="2DD0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vAlign w:val="center"/>
          </w:tcPr>
          <w:p w14:paraId="33A61473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1</w:t>
            </w:r>
          </w:p>
        </w:tc>
        <w:tc>
          <w:tcPr>
            <w:tcW w:w="1394" w:type="dxa"/>
            <w:vAlign w:val="center"/>
          </w:tcPr>
          <w:p w14:paraId="056B45D7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插排</w:t>
            </w:r>
          </w:p>
        </w:tc>
        <w:tc>
          <w:tcPr>
            <w:tcW w:w="1123" w:type="dxa"/>
            <w:vAlign w:val="center"/>
          </w:tcPr>
          <w:p w14:paraId="7F62F635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  <w:t>*</w:t>
            </w:r>
          </w:p>
        </w:tc>
        <w:tc>
          <w:tcPr>
            <w:tcW w:w="5051" w:type="dxa"/>
            <w:vAlign w:val="center"/>
          </w:tcPr>
          <w:p w14:paraId="128C5CCC">
            <w:pPr>
              <w:spacing w:line="300" w:lineRule="auto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  <w:t>为每个参赛队配置6个插孔，其中3个三插，3个二插。</w:t>
            </w:r>
          </w:p>
        </w:tc>
      </w:tr>
      <w:tr w14:paraId="5CB2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vAlign w:val="center"/>
          </w:tcPr>
          <w:p w14:paraId="3AEBD125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2</w:t>
            </w:r>
          </w:p>
        </w:tc>
        <w:tc>
          <w:tcPr>
            <w:tcW w:w="1394" w:type="dxa"/>
            <w:vAlign w:val="center"/>
          </w:tcPr>
          <w:p w14:paraId="03C35EDF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比赛桌子</w:t>
            </w:r>
          </w:p>
        </w:tc>
        <w:tc>
          <w:tcPr>
            <w:tcW w:w="1123" w:type="dxa"/>
            <w:vAlign w:val="center"/>
          </w:tcPr>
          <w:p w14:paraId="791B5019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  <w:t>*</w:t>
            </w:r>
          </w:p>
        </w:tc>
        <w:tc>
          <w:tcPr>
            <w:tcW w:w="5051" w:type="dxa"/>
            <w:vAlign w:val="center"/>
          </w:tcPr>
          <w:p w14:paraId="27DCCD0A">
            <w:pPr>
              <w:spacing w:line="300" w:lineRule="auto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每个参赛队1张桌子，容纳3个电脑，一套物联网比赛设备</w:t>
            </w:r>
          </w:p>
        </w:tc>
      </w:tr>
      <w:tr w14:paraId="5DCC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vAlign w:val="center"/>
          </w:tcPr>
          <w:p w14:paraId="32873B28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3</w:t>
            </w:r>
          </w:p>
        </w:tc>
        <w:tc>
          <w:tcPr>
            <w:tcW w:w="1394" w:type="dxa"/>
            <w:vAlign w:val="center"/>
          </w:tcPr>
          <w:p w14:paraId="08F52CED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U盘</w:t>
            </w:r>
          </w:p>
        </w:tc>
        <w:tc>
          <w:tcPr>
            <w:tcW w:w="1123" w:type="dxa"/>
            <w:vAlign w:val="center"/>
          </w:tcPr>
          <w:p w14:paraId="40C926D6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  <w:t>*</w:t>
            </w:r>
          </w:p>
        </w:tc>
        <w:tc>
          <w:tcPr>
            <w:tcW w:w="5051" w:type="dxa"/>
            <w:vAlign w:val="center"/>
          </w:tcPr>
          <w:p w14:paraId="7FE3B60E">
            <w:pPr>
              <w:spacing w:line="300" w:lineRule="auto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用于向各队分发竞赛所需模型资源，以及提交最终源代码等文件</w:t>
            </w:r>
          </w:p>
        </w:tc>
      </w:tr>
      <w:tr w14:paraId="36D26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vAlign w:val="center"/>
          </w:tcPr>
          <w:p w14:paraId="33CF898D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4</w:t>
            </w:r>
          </w:p>
        </w:tc>
        <w:tc>
          <w:tcPr>
            <w:tcW w:w="1394" w:type="dxa"/>
            <w:vAlign w:val="center"/>
          </w:tcPr>
          <w:p w14:paraId="3BDCC41C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不干胶贴</w:t>
            </w:r>
          </w:p>
        </w:tc>
        <w:tc>
          <w:tcPr>
            <w:tcW w:w="1123" w:type="dxa"/>
            <w:vAlign w:val="center"/>
          </w:tcPr>
          <w:p w14:paraId="1F5C3081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  <w:t>*</w:t>
            </w:r>
          </w:p>
        </w:tc>
        <w:tc>
          <w:tcPr>
            <w:tcW w:w="5051" w:type="dxa"/>
            <w:vAlign w:val="center"/>
          </w:tcPr>
          <w:p w14:paraId="2EBD7F89">
            <w:pPr>
              <w:spacing w:line="300" w:lineRule="auto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用于在比赛U盘及电脑上标注赛队编号</w:t>
            </w:r>
          </w:p>
        </w:tc>
      </w:tr>
      <w:tr w14:paraId="4AFA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vAlign w:val="center"/>
          </w:tcPr>
          <w:p w14:paraId="245005A4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5</w:t>
            </w:r>
          </w:p>
        </w:tc>
        <w:tc>
          <w:tcPr>
            <w:tcW w:w="1394" w:type="dxa"/>
            <w:vAlign w:val="center"/>
          </w:tcPr>
          <w:p w14:paraId="2CF518BB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现场大屏或投影设备</w:t>
            </w:r>
          </w:p>
        </w:tc>
        <w:tc>
          <w:tcPr>
            <w:tcW w:w="1123" w:type="dxa"/>
            <w:vAlign w:val="center"/>
          </w:tcPr>
          <w:p w14:paraId="51C28198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  <w:t>1</w:t>
            </w: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个</w:t>
            </w:r>
          </w:p>
        </w:tc>
        <w:tc>
          <w:tcPr>
            <w:tcW w:w="5051" w:type="dxa"/>
            <w:vAlign w:val="center"/>
          </w:tcPr>
          <w:p w14:paraId="2DF27EE2">
            <w:pPr>
              <w:spacing w:line="300" w:lineRule="auto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用于赛前抽签及比赛中时间显示，以及用于评分过程以及分数展示</w:t>
            </w:r>
          </w:p>
        </w:tc>
      </w:tr>
      <w:tr w14:paraId="3AEC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8" w:type="dxa"/>
            <w:vAlign w:val="center"/>
          </w:tcPr>
          <w:p w14:paraId="00CE89FD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6</w:t>
            </w:r>
          </w:p>
        </w:tc>
        <w:tc>
          <w:tcPr>
            <w:tcW w:w="1394" w:type="dxa"/>
            <w:vAlign w:val="center"/>
          </w:tcPr>
          <w:p w14:paraId="0E90689C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音箱及话筒</w:t>
            </w:r>
          </w:p>
        </w:tc>
        <w:tc>
          <w:tcPr>
            <w:tcW w:w="1123" w:type="dxa"/>
            <w:vAlign w:val="center"/>
          </w:tcPr>
          <w:p w14:paraId="5509D6E7">
            <w:pPr>
              <w:spacing w:line="300" w:lineRule="auto"/>
              <w:jc w:val="center"/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  <w:lang w:val="en-US"/>
              </w:rPr>
              <w:t>1套</w:t>
            </w:r>
          </w:p>
        </w:tc>
        <w:tc>
          <w:tcPr>
            <w:tcW w:w="5051" w:type="dxa"/>
            <w:vAlign w:val="center"/>
          </w:tcPr>
          <w:p w14:paraId="75864407">
            <w:pPr>
              <w:spacing w:line="300" w:lineRule="auto"/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_GB2312"/>
                <w:kern w:val="2"/>
                <w:sz w:val="24"/>
                <w:szCs w:val="24"/>
              </w:rPr>
              <w:t>用于赛前会议及比赛中播报指令</w:t>
            </w:r>
          </w:p>
        </w:tc>
      </w:tr>
    </w:tbl>
    <w:p w14:paraId="05822674">
      <w:pPr>
        <w:spacing w:line="300" w:lineRule="auto"/>
        <w:rPr>
          <w:rFonts w:hint="eastAsia" w:ascii="仿宋" w:hAnsi="仿宋" w:eastAsia="仿宋"/>
        </w:rPr>
      </w:pPr>
    </w:p>
    <w:p w14:paraId="6D09DC1F">
      <w:pPr>
        <w:pStyle w:val="4"/>
        <w:spacing w:line="480" w:lineRule="exact"/>
        <w:ind w:firstLine="562" w:firstLineChars="200"/>
        <w:rPr>
          <w:rFonts w:hint="eastAsia" w:ascii="仿宋" w:hAnsi="仿宋" w:eastAsia="仿宋" w:cs="仿宋_GB2312"/>
          <w:b/>
          <w:sz w:val="28"/>
          <w:szCs w:val="28"/>
        </w:rPr>
      </w:pPr>
      <w:bookmarkStart w:id="5" w:name="_Toc29258"/>
      <w:bookmarkStart w:id="6" w:name="_Toc26485"/>
      <w:bookmarkStart w:id="7" w:name="_Toc7400"/>
      <w:bookmarkStart w:id="8" w:name="_Toc32007"/>
      <w:r>
        <w:rPr>
          <w:rFonts w:hint="eastAsia" w:ascii="仿宋" w:hAnsi="仿宋" w:eastAsia="仿宋" w:cs="仿宋_GB2312"/>
          <w:b/>
          <w:sz w:val="28"/>
          <w:szCs w:val="28"/>
        </w:rPr>
        <w:t>比赛时间：</w:t>
      </w:r>
      <w:bookmarkEnd w:id="5"/>
      <w:bookmarkEnd w:id="6"/>
      <w:bookmarkEnd w:id="7"/>
      <w:bookmarkEnd w:id="8"/>
      <w:r>
        <w:rPr>
          <w:rFonts w:hint="eastAsia" w:ascii="仿宋" w:hAnsi="仿宋" w:eastAsia="仿宋" w:cs="仿宋_GB2312"/>
          <w:sz w:val="28"/>
          <w:szCs w:val="28"/>
          <w:lang w:val="en-US"/>
        </w:rPr>
        <w:t>4</w:t>
      </w:r>
      <w:r>
        <w:rPr>
          <w:rFonts w:hint="eastAsia" w:ascii="仿宋" w:hAnsi="仿宋" w:eastAsia="仿宋" w:cs="仿宋_GB2312"/>
          <w:sz w:val="28"/>
          <w:szCs w:val="28"/>
        </w:rPr>
        <w:t>小时（按现场统一评分要求确定）</w:t>
      </w:r>
    </w:p>
    <w:p w14:paraId="6AA28926">
      <w:pPr>
        <w:spacing w:line="480" w:lineRule="exact"/>
        <w:ind w:firstLine="562" w:firstLineChars="200"/>
        <w:rPr>
          <w:rFonts w:hint="eastAsia" w:ascii="仿宋" w:hAnsi="仿宋" w:eastAsia="仿宋" w:cs="仿宋_GB2312"/>
          <w:sz w:val="28"/>
          <w:szCs w:val="28"/>
        </w:rPr>
      </w:pPr>
      <w:r>
        <w:rPr>
          <w:rFonts w:hint="eastAsia" w:ascii="仿宋" w:hAnsi="仿宋" w:eastAsia="仿宋" w:cs="仿宋_GB2312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比赛题目：</w:t>
      </w:r>
      <w:r>
        <w:rPr>
          <w:rFonts w:hint="eastAsia" w:ascii="仿宋" w:hAnsi="仿宋" w:eastAsia="仿宋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一共1题，满分100分</w:t>
      </w:r>
    </w:p>
    <w:p w14:paraId="24B6340B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</w:rPr>
      </w:pPr>
    </w:p>
    <w:p w14:paraId="7ADFF015">
      <w:pPr>
        <w:pStyle w:val="4"/>
        <w:spacing w:line="480" w:lineRule="exact"/>
        <w:ind w:firstLine="562" w:firstLineChars="200"/>
        <w:rPr>
          <w:rFonts w:hint="eastAsia" w:ascii="仿宋" w:hAnsi="仿宋" w:eastAsia="仿宋" w:cs="仿宋_GB2312"/>
          <w:b/>
          <w:sz w:val="28"/>
          <w:szCs w:val="28"/>
        </w:rPr>
      </w:pPr>
      <w:bookmarkStart w:id="9" w:name="_Toc12596"/>
      <w:bookmarkStart w:id="10" w:name="_Toc24683"/>
      <w:bookmarkStart w:id="11" w:name="_Toc16494"/>
      <w:bookmarkStart w:id="12" w:name="_Toc12628"/>
      <w:r>
        <w:rPr>
          <w:rFonts w:hint="eastAsia" w:ascii="仿宋" w:hAnsi="仿宋" w:eastAsia="仿宋" w:cs="仿宋_GB2312"/>
          <w:b/>
          <w:sz w:val="28"/>
          <w:szCs w:val="28"/>
        </w:rPr>
        <w:t>一、设备要求</w:t>
      </w:r>
    </w:p>
    <w:p w14:paraId="521AE2D2">
      <w:pPr>
        <w:pStyle w:val="4"/>
        <w:spacing w:line="480" w:lineRule="exact"/>
        <w:ind w:firstLine="560" w:firstLineChars="200"/>
        <w:rPr>
          <w:rFonts w:hint="eastAsia" w:ascii="仿宋" w:hAnsi="仿宋" w:eastAsia="仿宋" w:cs="仿宋_GB2312"/>
          <w:bCs/>
          <w:sz w:val="28"/>
          <w:szCs w:val="28"/>
        </w:rPr>
      </w:pPr>
      <w:r>
        <w:rPr>
          <w:rFonts w:hint="eastAsia" w:ascii="仿宋" w:hAnsi="仿宋" w:eastAsia="仿宋" w:cs="仿宋_GB2312"/>
          <w:bCs/>
          <w:sz w:val="28"/>
          <w:szCs w:val="28"/>
        </w:rPr>
        <w:t>竞赛现场提供电源。竞赛团队根据组委会要求自备硬件（符合竞赛大纲要求），比赛开始后禁止带入新的智能控制模块。如果需要增加、替换传感模块，需要经过裁判允许才能执行。竞赛团队自备本地服务器，自备有线/无线路由器组建私有局域网。物联网智能终端、PC端、手机端需要能够与服务器连接并传输数据，但所有局域网禁止与外网相连，如比赛不涉及移动应用开发则不允许使用手机。</w:t>
      </w:r>
    </w:p>
    <w:p w14:paraId="7CF741F7">
      <w:pPr>
        <w:pStyle w:val="4"/>
        <w:spacing w:line="480" w:lineRule="exact"/>
        <w:ind w:firstLine="562" w:firstLineChars="200"/>
        <w:rPr>
          <w:rFonts w:hint="eastAsia" w:ascii="仿宋" w:hAnsi="仿宋" w:eastAsia="仿宋" w:cs="仿宋_GB2312"/>
          <w:b/>
          <w:sz w:val="28"/>
          <w:szCs w:val="28"/>
        </w:rPr>
      </w:pPr>
      <w:r>
        <w:rPr>
          <w:rFonts w:hint="eastAsia" w:ascii="仿宋" w:hAnsi="仿宋" w:eastAsia="仿宋" w:cs="仿宋_GB2312"/>
          <w:b/>
          <w:sz w:val="28"/>
          <w:szCs w:val="28"/>
        </w:rPr>
        <w:t>二、比赛要求</w:t>
      </w:r>
      <w:bookmarkEnd w:id="9"/>
      <w:bookmarkEnd w:id="10"/>
      <w:bookmarkEnd w:id="11"/>
      <w:bookmarkEnd w:id="12"/>
    </w:p>
    <w:p w14:paraId="5F21416B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1）</w:t>
      </w:r>
      <w:r>
        <w:rPr>
          <w:rFonts w:hint="eastAsia" w:ascii="仿宋" w:hAnsi="仿宋" w:eastAsia="仿宋" w:cs="仿宋_GB2312"/>
          <w:sz w:val="28"/>
          <w:szCs w:val="28"/>
        </w:rPr>
        <w:t>比赛顺序由现场抽签决定</w:t>
      </w:r>
      <w:r>
        <w:rPr>
          <w:rFonts w:hint="eastAsia" w:ascii="仿宋" w:hAnsi="仿宋" w:eastAsia="仿宋" w:cs="仿宋_GB2312"/>
          <w:sz w:val="28"/>
          <w:szCs w:val="28"/>
          <w:lang w:val="en-US"/>
        </w:rPr>
        <w:t>；</w:t>
      </w:r>
    </w:p>
    <w:p w14:paraId="13473FEE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</w:rPr>
      </w:pPr>
      <w:r>
        <w:rPr>
          <w:rFonts w:hint="eastAsia" w:ascii="仿宋" w:hAnsi="仿宋" w:eastAsia="仿宋" w:cs="仿宋_GB2312"/>
          <w:sz w:val="28"/>
          <w:szCs w:val="28"/>
        </w:rPr>
        <w:t>2）技能赛要求在四小时间内,各参赛队需在自备的软硬件平台上操作,发挥各项软硬件技能(如模块的组装和运行、嵌入式程序的编写等),实现若干指定功能。评委会根据评分细则对各参赛队的表现进行评比。</w:t>
      </w:r>
    </w:p>
    <w:p w14:paraId="34AA94DF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</w:rPr>
      </w:pPr>
      <w:r>
        <w:rPr>
          <w:rFonts w:hint="eastAsia" w:ascii="仿宋" w:hAnsi="仿宋" w:eastAsia="仿宋" w:cs="仿宋_GB2312"/>
          <w:sz w:val="28"/>
          <w:szCs w:val="28"/>
        </w:rPr>
        <w:t>3）比赛赛题在现场公布（纸质文档），现场分发存储有竞赛资源的U盘，领到U盘后粘贴不干胶，标注好赛队编号；</w:t>
      </w:r>
    </w:p>
    <w:p w14:paraId="48CD8BA3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4）比赛期间，电脑须在屏幕正面右上角贴上带有参赛编号的不干胶贴；</w:t>
      </w:r>
    </w:p>
    <w:p w14:paraId="0F1DF778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5）赛题完成后，根据任务书要求将相关文件保存到U盘，停止操作，然后参赛队伍</w:t>
      </w:r>
      <w:r>
        <w:rPr>
          <w:rFonts w:hint="eastAsia" w:ascii="仿宋" w:hAnsi="仿宋" w:eastAsia="仿宋" w:cs="仿宋_GB2312"/>
          <w:sz w:val="28"/>
          <w:szCs w:val="28"/>
          <w:highlight w:val="yellow"/>
          <w:lang w:val="en-US"/>
        </w:rPr>
        <w:t>举手示意报告比赛完成</w:t>
      </w:r>
      <w:r>
        <w:rPr>
          <w:rFonts w:hint="eastAsia" w:ascii="仿宋" w:hAnsi="仿宋" w:eastAsia="仿宋" w:cs="仿宋_GB2312"/>
          <w:sz w:val="28"/>
          <w:szCs w:val="28"/>
          <w:lang w:val="en-US"/>
        </w:rPr>
        <w:t>；</w:t>
      </w:r>
      <w:r>
        <w:rPr>
          <w:rFonts w:hint="eastAsia" w:ascii="仿宋" w:hAnsi="仿宋" w:eastAsia="仿宋" w:cs="仿宋_GB2312"/>
          <w:sz w:val="28"/>
          <w:szCs w:val="28"/>
          <w:highlight w:val="yellow"/>
          <w:lang w:val="en-US"/>
        </w:rPr>
        <w:t>报告完毕后，如仍有赛队人员继续操作的</w:t>
      </w:r>
      <w:r>
        <w:rPr>
          <w:rFonts w:hint="eastAsia" w:ascii="仿宋" w:hAnsi="仿宋" w:eastAsia="仿宋" w:cs="仿宋_GB2312"/>
          <w:sz w:val="28"/>
          <w:szCs w:val="28"/>
          <w:lang w:val="en-US"/>
        </w:rPr>
        <w:t>，将按照违规处理，比赛成绩将判为无效；</w:t>
      </w:r>
    </w:p>
    <w:p w14:paraId="6DE3B984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6）比赛时间到，应停止作答，离开比赛桌区域；仍有赛队人员在比赛桌区域内的，将按照违规处理，比赛成绩将判为无效；</w:t>
      </w:r>
    </w:p>
    <w:p w14:paraId="2575CE44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highlight w:val="yellow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highlight w:val="yellow"/>
          <w:lang w:val="en-US"/>
        </w:rPr>
        <w:t>7）评分阶段，赛队人员按照裁判组要求参加评分。</w:t>
      </w:r>
    </w:p>
    <w:p w14:paraId="746914B5">
      <w:pPr>
        <w:pStyle w:val="4"/>
        <w:spacing w:line="480" w:lineRule="exact"/>
        <w:ind w:firstLine="562" w:firstLineChars="200"/>
        <w:rPr>
          <w:rFonts w:hint="eastAsia" w:ascii="仿宋" w:hAnsi="仿宋" w:eastAsia="仿宋" w:cs="仿宋_GB2312"/>
          <w:b/>
          <w:sz w:val="28"/>
          <w:szCs w:val="28"/>
        </w:rPr>
      </w:pPr>
      <w:r>
        <w:rPr>
          <w:rFonts w:hint="eastAsia" w:ascii="仿宋" w:hAnsi="仿宋" w:eastAsia="仿宋" w:cs="仿宋_GB2312"/>
          <w:b/>
          <w:sz w:val="28"/>
          <w:szCs w:val="28"/>
        </w:rPr>
        <w:t>三、计分规则</w:t>
      </w:r>
    </w:p>
    <w:p w14:paraId="308121D7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1）参赛队按《任务书》要求，完成指定功能。</w:t>
      </w:r>
    </w:p>
    <w:p w14:paraId="7D6D0E4F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2）选手在完成每个题目后，需要把相关文件按照《任务书》要求备份到现场提供的U盘根目录，建立一个独立的文件夹，以“技能赛提交文件”命名，待比赛后裁判检查或选手操作时使用。裁判根据评分要求评分。</w:t>
      </w:r>
    </w:p>
    <w:p w14:paraId="6575A4B3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3）比赛结束：参赛队可在比赛的任何时间选择结束比赛。</w:t>
      </w:r>
    </w:p>
    <w:p w14:paraId="64FC0427">
      <w:pPr>
        <w:pStyle w:val="4"/>
        <w:spacing w:line="480" w:lineRule="exact"/>
        <w:ind w:firstLine="562" w:firstLineChars="200"/>
        <w:rPr>
          <w:rFonts w:hint="eastAsia" w:ascii="仿宋" w:hAnsi="仿宋" w:eastAsia="仿宋" w:cs="仿宋_GB2312"/>
          <w:b/>
          <w:sz w:val="28"/>
          <w:szCs w:val="28"/>
        </w:rPr>
      </w:pPr>
      <w:bookmarkStart w:id="13" w:name="_Toc21189"/>
      <w:bookmarkStart w:id="14" w:name="_Toc11284"/>
      <w:bookmarkStart w:id="15" w:name="_Toc23610"/>
      <w:bookmarkStart w:id="16" w:name="_Toc11370"/>
      <w:r>
        <w:rPr>
          <w:rFonts w:hint="eastAsia" w:ascii="仿宋" w:hAnsi="仿宋" w:eastAsia="仿宋" w:cs="仿宋_GB2312"/>
          <w:b/>
          <w:sz w:val="28"/>
          <w:szCs w:val="28"/>
        </w:rPr>
        <w:t>四、评分</w:t>
      </w:r>
      <w:bookmarkEnd w:id="13"/>
      <w:bookmarkEnd w:id="14"/>
      <w:bookmarkEnd w:id="15"/>
      <w:bookmarkEnd w:id="16"/>
      <w:r>
        <w:rPr>
          <w:rFonts w:hint="eastAsia" w:ascii="仿宋" w:hAnsi="仿宋" w:eastAsia="仿宋" w:cs="仿宋_GB2312"/>
          <w:b/>
          <w:sz w:val="28"/>
          <w:szCs w:val="28"/>
        </w:rPr>
        <w:t>原则</w:t>
      </w:r>
    </w:p>
    <w:p w14:paraId="15AD7C0B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1）比赛结束后，参赛选手全部退场（或起立离开赛位，按现场裁判要求为准）。裁判评到参赛队伍时，该参赛队队员进行操作，裁判按照赛题评分表和操作实现情况进行评分。</w:t>
      </w:r>
    </w:p>
    <w:p w14:paraId="3B7C6A6B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2）单独计算得分，按照得分高低排序。</w:t>
      </w:r>
    </w:p>
    <w:p w14:paraId="2F0B5C18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3）赛队成绩相同，则依据在规定时间内所完成答题时间先后进行排序，完成时间少的队伍排名在前；如时间仍相同由裁判组进行合议，确定获胜者及获奖等级。</w:t>
      </w:r>
    </w:p>
    <w:p w14:paraId="690D17BB">
      <w:pPr>
        <w:pStyle w:val="12"/>
        <w:autoSpaceDE/>
        <w:autoSpaceDN/>
        <w:spacing w:line="480" w:lineRule="exact"/>
        <w:ind w:left="0" w:firstLine="560" w:firstLineChars="200"/>
        <w:jc w:val="both"/>
        <w:rPr>
          <w:rFonts w:hint="eastAsia" w:ascii="仿宋" w:hAnsi="仿宋" w:eastAsia="仿宋" w:cs="仿宋_GB2312"/>
          <w:sz w:val="28"/>
          <w:szCs w:val="28"/>
          <w:lang w:val="en-US"/>
        </w:rPr>
      </w:pPr>
      <w:r>
        <w:rPr>
          <w:rFonts w:hint="eastAsia" w:ascii="仿宋" w:hAnsi="仿宋" w:eastAsia="仿宋" w:cs="仿宋_GB2312"/>
          <w:sz w:val="28"/>
          <w:szCs w:val="28"/>
          <w:lang w:val="en-US"/>
        </w:rPr>
        <w:t>4）现场发生特殊情况，由现场裁判组讨论决定评判措施。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kMWVhYTlkNTE5ZjZiODRkODc1OTcxOWQ2NzdjN2QifQ=="/>
  </w:docVars>
  <w:rsids>
    <w:rsidRoot w:val="548608E1"/>
    <w:rsid w:val="000166DB"/>
    <w:rsid w:val="0004584B"/>
    <w:rsid w:val="00074410"/>
    <w:rsid w:val="00087F9C"/>
    <w:rsid w:val="00106089"/>
    <w:rsid w:val="00116893"/>
    <w:rsid w:val="00135506"/>
    <w:rsid w:val="00136227"/>
    <w:rsid w:val="001C4167"/>
    <w:rsid w:val="001E51AD"/>
    <w:rsid w:val="00200E05"/>
    <w:rsid w:val="00232A8C"/>
    <w:rsid w:val="00273B66"/>
    <w:rsid w:val="00282BA1"/>
    <w:rsid w:val="00283D95"/>
    <w:rsid w:val="00296256"/>
    <w:rsid w:val="002A764F"/>
    <w:rsid w:val="002C54C2"/>
    <w:rsid w:val="002C5D52"/>
    <w:rsid w:val="002D2AB3"/>
    <w:rsid w:val="002F12FA"/>
    <w:rsid w:val="002F6AC7"/>
    <w:rsid w:val="00311AF8"/>
    <w:rsid w:val="0033144D"/>
    <w:rsid w:val="00340174"/>
    <w:rsid w:val="00351B83"/>
    <w:rsid w:val="00357381"/>
    <w:rsid w:val="0039420A"/>
    <w:rsid w:val="003F2FD6"/>
    <w:rsid w:val="00422AC7"/>
    <w:rsid w:val="004260D1"/>
    <w:rsid w:val="004419EE"/>
    <w:rsid w:val="004737CF"/>
    <w:rsid w:val="004A27D0"/>
    <w:rsid w:val="004A503A"/>
    <w:rsid w:val="004C44A8"/>
    <w:rsid w:val="004D6817"/>
    <w:rsid w:val="004F1833"/>
    <w:rsid w:val="004F2347"/>
    <w:rsid w:val="004F7D21"/>
    <w:rsid w:val="00544F4C"/>
    <w:rsid w:val="005547E5"/>
    <w:rsid w:val="0057268B"/>
    <w:rsid w:val="005A75D4"/>
    <w:rsid w:val="005C40D9"/>
    <w:rsid w:val="005F0A21"/>
    <w:rsid w:val="005F2D7A"/>
    <w:rsid w:val="00605647"/>
    <w:rsid w:val="0061598A"/>
    <w:rsid w:val="0066028A"/>
    <w:rsid w:val="00665F3B"/>
    <w:rsid w:val="00675BFD"/>
    <w:rsid w:val="00701220"/>
    <w:rsid w:val="0071485B"/>
    <w:rsid w:val="007436A0"/>
    <w:rsid w:val="00774CEF"/>
    <w:rsid w:val="007E73E7"/>
    <w:rsid w:val="00874A20"/>
    <w:rsid w:val="008F46CA"/>
    <w:rsid w:val="00906A62"/>
    <w:rsid w:val="009519F3"/>
    <w:rsid w:val="009535F5"/>
    <w:rsid w:val="009924DC"/>
    <w:rsid w:val="009A1D08"/>
    <w:rsid w:val="009B22F1"/>
    <w:rsid w:val="00A33E23"/>
    <w:rsid w:val="00A37691"/>
    <w:rsid w:val="00AA63D7"/>
    <w:rsid w:val="00AB582E"/>
    <w:rsid w:val="00AB6867"/>
    <w:rsid w:val="00B06FDF"/>
    <w:rsid w:val="00B332C0"/>
    <w:rsid w:val="00B55172"/>
    <w:rsid w:val="00B962F6"/>
    <w:rsid w:val="00BB03F7"/>
    <w:rsid w:val="00BE6646"/>
    <w:rsid w:val="00C34876"/>
    <w:rsid w:val="00C7382D"/>
    <w:rsid w:val="00C75C3E"/>
    <w:rsid w:val="00C76B7B"/>
    <w:rsid w:val="00CB3925"/>
    <w:rsid w:val="00CD716D"/>
    <w:rsid w:val="00D02890"/>
    <w:rsid w:val="00DD1FBA"/>
    <w:rsid w:val="00DE15D5"/>
    <w:rsid w:val="00E92737"/>
    <w:rsid w:val="00EB364A"/>
    <w:rsid w:val="00EF6996"/>
    <w:rsid w:val="00EF69C9"/>
    <w:rsid w:val="00F04DC8"/>
    <w:rsid w:val="00F06E60"/>
    <w:rsid w:val="00F12557"/>
    <w:rsid w:val="00F17F8B"/>
    <w:rsid w:val="00F27506"/>
    <w:rsid w:val="00F45B25"/>
    <w:rsid w:val="00F46F4F"/>
    <w:rsid w:val="00F628D0"/>
    <w:rsid w:val="00F71BB3"/>
    <w:rsid w:val="00F73E5D"/>
    <w:rsid w:val="00F871B2"/>
    <w:rsid w:val="00F953FE"/>
    <w:rsid w:val="011B618F"/>
    <w:rsid w:val="01AB5B99"/>
    <w:rsid w:val="0910236B"/>
    <w:rsid w:val="0A2E3071"/>
    <w:rsid w:val="0BBE689D"/>
    <w:rsid w:val="18277359"/>
    <w:rsid w:val="1FA434D8"/>
    <w:rsid w:val="3C903769"/>
    <w:rsid w:val="3E8623AD"/>
    <w:rsid w:val="4FD03A76"/>
    <w:rsid w:val="523920F4"/>
    <w:rsid w:val="548608E1"/>
    <w:rsid w:val="607F164F"/>
    <w:rsid w:val="63666202"/>
    <w:rsid w:val="7393166F"/>
    <w:rsid w:val="73B529C6"/>
    <w:rsid w:val="78A80D9E"/>
    <w:rsid w:val="7B2A29FC"/>
    <w:rsid w:val="7EAD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黑体" w:hAnsi="黑体" w:eastAsia="黑体" w:cs="黑体"/>
      <w:sz w:val="22"/>
      <w:szCs w:val="22"/>
      <w:lang w:val="zh-CN" w:eastAsia="zh-CN" w:bidi="zh-CN"/>
    </w:rPr>
  </w:style>
  <w:style w:type="paragraph" w:styleId="2">
    <w:name w:val="heading 2"/>
    <w:basedOn w:val="1"/>
    <w:next w:val="1"/>
    <w:unhideWhenUsed/>
    <w:qFormat/>
    <w:uiPriority w:val="9"/>
    <w:pPr>
      <w:ind w:left="198"/>
      <w:outlineLvl w:val="1"/>
    </w:pPr>
    <w:rPr>
      <w:rFonts w:ascii="宋体" w:hAnsi="宋体" w:eastAsia="宋体" w:cs="宋体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autoRedefine/>
    <w:qFormat/>
    <w:uiPriority w:val="0"/>
  </w:style>
  <w:style w:type="paragraph" w:styleId="4">
    <w:name w:val="Body Text"/>
    <w:basedOn w:val="1"/>
    <w:qFormat/>
    <w:uiPriority w:val="1"/>
    <w:rPr>
      <w:sz w:val="30"/>
      <w:szCs w:val="30"/>
    </w:rPr>
  </w:style>
  <w:style w:type="paragraph" w:styleId="5">
    <w:name w:val="footer"/>
    <w:basedOn w:val="1"/>
    <w:link w:val="17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6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autoRedefine/>
    <w:qFormat/>
    <w:uiPriority w:val="0"/>
    <w:rPr>
      <w:b/>
      <w:bCs/>
    </w:rPr>
  </w:style>
  <w:style w:type="table" w:styleId="9">
    <w:name w:val="Table Grid"/>
    <w:basedOn w:val="8"/>
    <w:autoRedefine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autoRedefine/>
    <w:qFormat/>
    <w:uiPriority w:val="0"/>
    <w:rPr>
      <w:sz w:val="21"/>
      <w:szCs w:val="21"/>
    </w:rPr>
  </w:style>
  <w:style w:type="paragraph" w:customStyle="1" w:styleId="12">
    <w:name w:val="列表段落1"/>
    <w:basedOn w:val="1"/>
    <w:autoRedefine/>
    <w:qFormat/>
    <w:uiPriority w:val="34"/>
    <w:pPr>
      <w:ind w:left="1482" w:hanging="420"/>
    </w:pPr>
  </w:style>
  <w:style w:type="paragraph" w:customStyle="1" w:styleId="13">
    <w:name w:val="修订1"/>
    <w:autoRedefine/>
    <w:hidden/>
    <w:unhideWhenUsed/>
    <w:qFormat/>
    <w:uiPriority w:val="99"/>
    <w:rPr>
      <w:rFonts w:ascii="黑体" w:hAnsi="黑体" w:eastAsia="黑体" w:cs="黑体"/>
      <w:sz w:val="22"/>
      <w:szCs w:val="22"/>
      <w:lang w:val="zh-CN" w:eastAsia="zh-CN" w:bidi="zh-CN"/>
    </w:rPr>
  </w:style>
  <w:style w:type="character" w:customStyle="1" w:styleId="14">
    <w:name w:val="批注文字 字符"/>
    <w:basedOn w:val="10"/>
    <w:link w:val="3"/>
    <w:autoRedefine/>
    <w:qFormat/>
    <w:uiPriority w:val="0"/>
    <w:rPr>
      <w:rFonts w:ascii="黑体" w:hAnsi="黑体" w:eastAsia="黑体" w:cs="黑体"/>
      <w:sz w:val="22"/>
      <w:szCs w:val="22"/>
      <w:lang w:val="zh-CN" w:bidi="zh-CN"/>
    </w:rPr>
  </w:style>
  <w:style w:type="character" w:customStyle="1" w:styleId="15">
    <w:name w:val="批注主题 字符"/>
    <w:basedOn w:val="14"/>
    <w:link w:val="7"/>
    <w:autoRedefine/>
    <w:qFormat/>
    <w:uiPriority w:val="0"/>
    <w:rPr>
      <w:rFonts w:ascii="黑体" w:hAnsi="黑体" w:eastAsia="黑体" w:cs="黑体"/>
      <w:b/>
      <w:bCs/>
      <w:sz w:val="22"/>
      <w:szCs w:val="22"/>
      <w:lang w:val="zh-CN" w:bidi="zh-CN"/>
    </w:rPr>
  </w:style>
  <w:style w:type="character" w:customStyle="1" w:styleId="16">
    <w:name w:val="页眉 字符"/>
    <w:basedOn w:val="10"/>
    <w:link w:val="6"/>
    <w:autoRedefine/>
    <w:qFormat/>
    <w:uiPriority w:val="0"/>
    <w:rPr>
      <w:rFonts w:ascii="黑体" w:hAnsi="黑体" w:eastAsia="黑体" w:cs="黑体"/>
      <w:sz w:val="18"/>
      <w:szCs w:val="18"/>
      <w:lang w:val="zh-CN" w:bidi="zh-CN"/>
    </w:rPr>
  </w:style>
  <w:style w:type="character" w:customStyle="1" w:styleId="17">
    <w:name w:val="页脚 字符"/>
    <w:basedOn w:val="10"/>
    <w:link w:val="5"/>
    <w:autoRedefine/>
    <w:qFormat/>
    <w:uiPriority w:val="0"/>
    <w:rPr>
      <w:rFonts w:ascii="黑体" w:hAnsi="黑体" w:eastAsia="黑体" w:cs="黑体"/>
      <w:sz w:val="18"/>
      <w:szCs w:val="18"/>
      <w:lang w:val="zh-CN" w:bidi="zh-CN"/>
    </w:rPr>
  </w:style>
  <w:style w:type="paragraph" w:customStyle="1" w:styleId="18">
    <w:name w:val="修订2"/>
    <w:hidden/>
    <w:unhideWhenUsed/>
    <w:qFormat/>
    <w:uiPriority w:val="99"/>
    <w:rPr>
      <w:rFonts w:ascii="黑体" w:hAnsi="黑体" w:eastAsia="黑体" w:cs="黑体"/>
      <w:sz w:val="22"/>
      <w:szCs w:val="22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1144</Words>
  <Characters>1151</Characters>
  <Lines>8</Lines>
  <Paragraphs>2</Paragraphs>
  <TotalTime>4</TotalTime>
  <ScaleCrop>false</ScaleCrop>
  <LinksUpToDate>false</LinksUpToDate>
  <CharactersWithSpaces>1151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2023-08-24T02:13:00Z</dcterms:created>
  <dc:creator>郭忠文</dc:creator>
  <cp:lastModifiedBy>郭忠文</cp:lastModifiedBy>
  <dcterms:modified xsi:type="dcterms:W3CDTF">2026-07-02T08:13:39Z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59D48DACCAEE4729A593A96629BC7A30_13</vt:lpwstr>
  </property>
  <property fmtid="{D5CDD505-2E9C-101B-9397-08002B2CF9AE}" pid="4" name="KSOTemplateDocerSaveRecord">
    <vt:lpwstr>eyJoZGlkIjoiOTcxMWI4YmQ1MjA3ZmViYTgyMWNmYzBhZDlhODMyNTgiLCJ1c2VySWQiOiIxNzc5ODk0MzE0In0=</vt:lpwstr>
  </property>
</Properties>
</file>