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394895">
      <w:pPr>
        <w:spacing w:after="160"/>
        <w:jc w:val="center"/>
      </w:pPr>
      <w:r>
        <w:rPr>
          <w:rFonts w:ascii="Times New Roman" w:hAnsi="Times New Roman" w:eastAsia="Times New Roman"/>
          <w:b/>
          <w:i w:val="0"/>
          <w:sz w:val="32"/>
        </w:rPr>
        <w:t>FINN2041 CORPORATE FINANCE</w:t>
      </w:r>
    </w:p>
    <w:p w14:paraId="0A6C6698">
      <w:pPr>
        <w:spacing w:after="280"/>
        <w:jc w:val="center"/>
      </w:pPr>
      <w:r>
        <w:rPr>
          <w:rFonts w:ascii="Times New Roman" w:hAnsi="Times New Roman" w:eastAsia="Times New Roman"/>
          <w:b/>
          <w:i w:val="0"/>
          <w:sz w:val="28"/>
        </w:rPr>
        <w:t>Practice Mock Examination Paper</w:t>
      </w:r>
    </w:p>
    <w:p w14:paraId="547B3E86">
      <w:pPr>
        <w:spacing w:after="40"/>
      </w:pPr>
      <w:r>
        <w:rPr>
          <w:rFonts w:ascii="Times New Roman" w:hAnsi="Times New Roman" w:eastAsia="Times New Roman"/>
          <w:b/>
          <w:i w:val="0"/>
          <w:sz w:val="22"/>
        </w:rPr>
        <w:t>Instructions to Candidates</w:t>
      </w:r>
    </w:p>
    <w:p w14:paraId="6209294F">
      <w:pPr>
        <w:pStyle w:val="16"/>
      </w:pPr>
      <w:r>
        <w:rPr>
          <w:rFonts w:ascii="Times New Roman" w:hAnsi="Times New Roman" w:eastAsia="Times New Roman"/>
          <w:sz w:val="21"/>
        </w:rPr>
        <w:t>Answer ALL questions.</w:t>
      </w:r>
    </w:p>
    <w:p w14:paraId="7B96CD9A">
      <w:pPr>
        <w:pStyle w:val="16"/>
      </w:pPr>
      <w:r>
        <w:rPr>
          <w:rFonts w:ascii="Times New Roman" w:hAnsi="Times New Roman" w:eastAsia="Times New Roman"/>
          <w:sz w:val="21"/>
        </w:rPr>
        <w:t>Section A accounts for 20% of the total mark and Section B accounts for 80% of the total mark.</w:t>
      </w:r>
    </w:p>
    <w:p w14:paraId="1EED7455">
      <w:pPr>
        <w:pStyle w:val="16"/>
      </w:pPr>
      <w:r>
        <w:rPr>
          <w:rFonts w:ascii="Times New Roman" w:hAnsi="Times New Roman" w:eastAsia="Times New Roman"/>
          <w:sz w:val="21"/>
        </w:rPr>
        <w:t>Show all workings for computational questions in Section B.</w:t>
      </w:r>
    </w:p>
    <w:p w14:paraId="4AE5482B">
      <w:pPr>
        <w:pStyle w:val="16"/>
      </w:pPr>
      <w:r>
        <w:rPr>
          <w:rFonts w:ascii="Times New Roman" w:hAnsi="Times New Roman" w:eastAsia="Times New Roman"/>
          <w:sz w:val="21"/>
        </w:rPr>
        <w:t>Unless stated otherwise, assume that cash flows occur at the end of each year and ignore taxes except where the question gives a tax rate.</w:t>
      </w:r>
    </w:p>
    <w:p w14:paraId="2A22B675">
      <w:bookmarkStart w:id="0" w:name="_GoBack"/>
      <w:bookmarkEnd w:id="0"/>
      <w:r>
        <w:br w:type="page"/>
      </w:r>
    </w:p>
    <w:p w14:paraId="5CDFAA22">
      <w:pPr>
        <w:spacing w:after="120"/>
      </w:pPr>
      <w:r>
        <w:rPr>
          <w:rFonts w:ascii="Times New Roman" w:hAnsi="Times New Roman" w:eastAsia="Times New Roman"/>
          <w:b/>
          <w:i w:val="0"/>
          <w:sz w:val="22"/>
        </w:rPr>
        <w:t>Section A. Answer all questions. This section accounts for 20% of the total mark.</w:t>
      </w:r>
    </w:p>
    <w:p w14:paraId="3695464C">
      <w:pPr>
        <w:spacing w:after="20"/>
      </w:pPr>
      <w:r>
        <w:rPr>
          <w:rFonts w:ascii="Times New Roman" w:hAnsi="Times New Roman" w:eastAsia="Times New Roman"/>
          <w:b/>
          <w:i w:val="0"/>
          <w:sz w:val="21"/>
        </w:rPr>
        <w:t>Question 1.</w:t>
      </w:r>
    </w:p>
    <w:p w14:paraId="19725051">
      <w:pPr>
        <w:spacing w:after="40"/>
      </w:pPr>
      <w:r>
        <w:rPr>
          <w:rFonts w:ascii="Times New Roman" w:hAnsi="Times New Roman" w:eastAsia="Times New Roman"/>
          <w:b w:val="0"/>
          <w:i w:val="0"/>
        </w:rPr>
        <w:t>Which of the following best states the usual goal of financial management in a shareholder-value oriented firm?</w:t>
      </w:r>
    </w:p>
    <w:p w14:paraId="4C78BEF1">
      <w:pPr>
        <w:spacing w:after="0"/>
      </w:pPr>
      <w:r>
        <w:rPr>
          <w:rFonts w:ascii="Times New Roman" w:hAnsi="Times New Roman" w:eastAsia="Times New Roman"/>
          <w:b w:val="0"/>
          <w:i w:val="0"/>
        </w:rPr>
        <w:t>A. Maximise sales growth regardless of profitability</w:t>
      </w:r>
    </w:p>
    <w:p w14:paraId="7362AC68">
      <w:pPr>
        <w:spacing w:after="0"/>
      </w:pPr>
      <w:r>
        <w:rPr>
          <w:rFonts w:ascii="Times New Roman" w:hAnsi="Times New Roman" w:eastAsia="Times New Roman"/>
          <w:b w:val="0"/>
          <w:i w:val="0"/>
        </w:rPr>
        <w:t>B. Minimise the use of debt finance</w:t>
      </w:r>
    </w:p>
    <w:p w14:paraId="050F48D1">
      <w:pPr>
        <w:spacing w:after="0"/>
      </w:pPr>
      <w:r>
        <w:rPr>
          <w:rFonts w:ascii="Times New Roman" w:hAnsi="Times New Roman" w:eastAsia="Times New Roman"/>
          <w:b w:val="0"/>
          <w:i w:val="0"/>
        </w:rPr>
        <w:t>C. Maximise shareholder wealth</w:t>
      </w:r>
    </w:p>
    <w:p w14:paraId="68E2D2F8">
      <w:pPr>
        <w:spacing w:after="0"/>
      </w:pPr>
      <w:r>
        <w:rPr>
          <w:rFonts w:ascii="Times New Roman" w:hAnsi="Times New Roman" w:eastAsia="Times New Roman"/>
          <w:b w:val="0"/>
          <w:i w:val="0"/>
        </w:rPr>
        <w:t>D. Maintain the same dividend every year</w:t>
      </w:r>
    </w:p>
    <w:p w14:paraId="643246D1">
      <w:pPr>
        <w:spacing w:after="20"/>
      </w:pPr>
      <w:r>
        <w:rPr>
          <w:rFonts w:ascii="Times New Roman" w:hAnsi="Times New Roman" w:eastAsia="Times New Roman"/>
          <w:b/>
          <w:i w:val="0"/>
          <w:sz w:val="21"/>
        </w:rPr>
        <w:t>Question 2.</w:t>
      </w:r>
    </w:p>
    <w:p w14:paraId="2F3A4E3E">
      <w:pPr>
        <w:spacing w:after="40"/>
      </w:pPr>
      <w:r>
        <w:rPr>
          <w:rFonts w:ascii="Times New Roman" w:hAnsi="Times New Roman" w:eastAsia="Times New Roman"/>
          <w:b w:val="0"/>
          <w:i w:val="0"/>
        </w:rPr>
        <w:t>During the year, inventories increased by £18,000, trade receivables decreased by £6,000, and trade payables increased by £5,000. What is the change in net working capital?</w:t>
      </w:r>
    </w:p>
    <w:p w14:paraId="1015AC9B">
      <w:pPr>
        <w:spacing w:after="0"/>
      </w:pPr>
      <w:r>
        <w:rPr>
          <w:rFonts w:ascii="Times New Roman" w:hAnsi="Times New Roman" w:eastAsia="Times New Roman"/>
          <w:b w:val="0"/>
          <w:i w:val="0"/>
        </w:rPr>
        <w:t>A. Increase by £7,000</w:t>
      </w:r>
    </w:p>
    <w:p w14:paraId="00BA3FF9">
      <w:pPr>
        <w:spacing w:after="0"/>
      </w:pPr>
      <w:r>
        <w:rPr>
          <w:rFonts w:ascii="Times New Roman" w:hAnsi="Times New Roman" w:eastAsia="Times New Roman"/>
          <w:b w:val="0"/>
          <w:i w:val="0"/>
        </w:rPr>
        <w:t>B. Increase by £19,000</w:t>
      </w:r>
    </w:p>
    <w:p w14:paraId="19E3CC72">
      <w:pPr>
        <w:spacing w:after="0"/>
      </w:pPr>
      <w:r>
        <w:rPr>
          <w:rFonts w:ascii="Times New Roman" w:hAnsi="Times New Roman" w:eastAsia="Times New Roman"/>
          <w:b w:val="0"/>
          <w:i w:val="0"/>
        </w:rPr>
        <w:t>C. Decrease by £7,000</w:t>
      </w:r>
    </w:p>
    <w:p w14:paraId="1327AC06">
      <w:pPr>
        <w:spacing w:after="0"/>
      </w:pPr>
      <w:r>
        <w:rPr>
          <w:rFonts w:ascii="Times New Roman" w:hAnsi="Times New Roman" w:eastAsia="Times New Roman"/>
          <w:b w:val="0"/>
          <w:i w:val="0"/>
        </w:rPr>
        <w:t>D. Decrease by £29,000</w:t>
      </w:r>
    </w:p>
    <w:p w14:paraId="502F2295">
      <w:pPr>
        <w:spacing w:after="20"/>
      </w:pPr>
      <w:r>
        <w:rPr>
          <w:rFonts w:ascii="Times New Roman" w:hAnsi="Times New Roman" w:eastAsia="Times New Roman"/>
          <w:b/>
          <w:i w:val="0"/>
          <w:sz w:val="21"/>
        </w:rPr>
        <w:t>Question 3.</w:t>
      </w:r>
    </w:p>
    <w:p w14:paraId="4C0318A5">
      <w:pPr>
        <w:spacing w:after="40"/>
      </w:pPr>
      <w:r>
        <w:rPr>
          <w:rFonts w:ascii="Times New Roman" w:hAnsi="Times New Roman" w:eastAsia="Times New Roman"/>
          <w:b w:val="0"/>
          <w:i w:val="0"/>
        </w:rPr>
        <w:t>Which investment appraisal methods explicitly incorporate the time value of money?</w:t>
      </w:r>
    </w:p>
    <w:p w14:paraId="5630DB23">
      <w:pPr>
        <w:spacing w:after="0"/>
      </w:pPr>
      <w:r>
        <w:rPr>
          <w:rFonts w:ascii="Times New Roman" w:hAnsi="Times New Roman" w:eastAsia="Times New Roman"/>
          <w:b w:val="0"/>
          <w:i w:val="0"/>
        </w:rPr>
        <w:t>A. Payback period only</w:t>
      </w:r>
    </w:p>
    <w:p w14:paraId="343FE4E4">
      <w:pPr>
        <w:spacing w:after="0"/>
      </w:pPr>
      <w:r>
        <w:rPr>
          <w:rFonts w:ascii="Times New Roman" w:hAnsi="Times New Roman" w:eastAsia="Times New Roman"/>
          <w:b w:val="0"/>
          <w:i w:val="0"/>
        </w:rPr>
        <w:t>B. Discounted payback period, NPV and IRR</w:t>
      </w:r>
    </w:p>
    <w:p w14:paraId="3571745E">
      <w:pPr>
        <w:spacing w:after="0"/>
      </w:pPr>
      <w:r>
        <w:rPr>
          <w:rFonts w:ascii="Times New Roman" w:hAnsi="Times New Roman" w:eastAsia="Times New Roman"/>
          <w:b w:val="0"/>
          <w:i w:val="0"/>
        </w:rPr>
        <w:t>C. Payback period and accounting rate of return only</w:t>
      </w:r>
    </w:p>
    <w:p w14:paraId="159E19EE">
      <w:pPr>
        <w:spacing w:after="0"/>
      </w:pPr>
      <w:r>
        <w:rPr>
          <w:rFonts w:ascii="Times New Roman" w:hAnsi="Times New Roman" w:eastAsia="Times New Roman"/>
          <w:b w:val="0"/>
          <w:i w:val="0"/>
        </w:rPr>
        <w:t>D. Accounting rate of return and payback period</w:t>
      </w:r>
    </w:p>
    <w:p w14:paraId="52FDFB95">
      <w:pPr>
        <w:spacing w:after="20"/>
      </w:pPr>
      <w:r>
        <w:rPr>
          <w:rFonts w:ascii="Times New Roman" w:hAnsi="Times New Roman" w:eastAsia="Times New Roman"/>
          <w:b/>
          <w:i w:val="0"/>
          <w:sz w:val="21"/>
        </w:rPr>
        <w:t>Question 4.</w:t>
      </w:r>
    </w:p>
    <w:p w14:paraId="66976568">
      <w:pPr>
        <w:spacing w:after="40"/>
      </w:pPr>
      <w:r>
        <w:rPr>
          <w:rFonts w:ascii="Times New Roman" w:hAnsi="Times New Roman" w:eastAsia="Times New Roman"/>
          <w:b w:val="0"/>
          <w:i w:val="0"/>
        </w:rPr>
        <w:t>A firm has a positive NPV project, but management may rationally delay the investment when:</w:t>
      </w:r>
    </w:p>
    <w:p w14:paraId="5241D2D4">
      <w:pPr>
        <w:spacing w:after="0"/>
      </w:pPr>
      <w:r>
        <w:rPr>
          <w:rFonts w:ascii="Times New Roman" w:hAnsi="Times New Roman" w:eastAsia="Times New Roman"/>
          <w:b w:val="0"/>
          <w:i w:val="0"/>
        </w:rPr>
        <w:t>A. the value of the option to wait is high</w:t>
      </w:r>
    </w:p>
    <w:p w14:paraId="13F70074">
      <w:pPr>
        <w:spacing w:after="0"/>
      </w:pPr>
      <w:r>
        <w:rPr>
          <w:rFonts w:ascii="Times New Roman" w:hAnsi="Times New Roman" w:eastAsia="Times New Roman"/>
          <w:b w:val="0"/>
          <w:i w:val="0"/>
        </w:rPr>
        <w:t>B. the project has no uncertainty</w:t>
      </w:r>
    </w:p>
    <w:p w14:paraId="2DB3547F">
      <w:pPr>
        <w:spacing w:after="0"/>
      </w:pPr>
      <w:r>
        <w:rPr>
          <w:rFonts w:ascii="Times New Roman" w:hAnsi="Times New Roman" w:eastAsia="Times New Roman"/>
          <w:b w:val="0"/>
          <w:i w:val="0"/>
        </w:rPr>
        <w:t>C. the payback period is zero</w:t>
      </w:r>
    </w:p>
    <w:p w14:paraId="498A4833">
      <w:pPr>
        <w:spacing w:after="0"/>
      </w:pPr>
      <w:r>
        <w:rPr>
          <w:rFonts w:ascii="Times New Roman" w:hAnsi="Times New Roman" w:eastAsia="Times New Roman"/>
          <w:b w:val="0"/>
          <w:i w:val="0"/>
        </w:rPr>
        <w:t>D. the project has no future cash flows</w:t>
      </w:r>
    </w:p>
    <w:p w14:paraId="31D2E32A">
      <w:pPr>
        <w:spacing w:after="20"/>
      </w:pPr>
      <w:r>
        <w:rPr>
          <w:rFonts w:ascii="Times New Roman" w:hAnsi="Times New Roman" w:eastAsia="Times New Roman"/>
          <w:b/>
          <w:i w:val="0"/>
          <w:sz w:val="21"/>
        </w:rPr>
        <w:t>Question 5.</w:t>
      </w:r>
    </w:p>
    <w:p w14:paraId="56177E3C">
      <w:pPr>
        <w:spacing w:after="40"/>
      </w:pPr>
      <w:r>
        <w:rPr>
          <w:rFonts w:ascii="Times New Roman" w:hAnsi="Times New Roman" w:eastAsia="Times New Roman"/>
          <w:b w:val="0"/>
          <w:i w:val="0"/>
        </w:rPr>
        <w:t>A new public equity issue by a company whose shares are already publicly traded is called:</w:t>
      </w:r>
    </w:p>
    <w:p w14:paraId="58D82189">
      <w:pPr>
        <w:spacing w:after="0"/>
      </w:pPr>
      <w:r>
        <w:rPr>
          <w:rFonts w:ascii="Times New Roman" w:hAnsi="Times New Roman" w:eastAsia="Times New Roman"/>
          <w:b w:val="0"/>
          <w:i w:val="0"/>
        </w:rPr>
        <w:t>A. an initial public offering</w:t>
      </w:r>
    </w:p>
    <w:p w14:paraId="60707B51">
      <w:pPr>
        <w:spacing w:after="0"/>
      </w:pPr>
      <w:r>
        <w:rPr>
          <w:rFonts w:ascii="Times New Roman" w:hAnsi="Times New Roman" w:eastAsia="Times New Roman"/>
          <w:b w:val="0"/>
          <w:i w:val="0"/>
        </w:rPr>
        <w:t>B. a seasoned equity offering</w:t>
      </w:r>
    </w:p>
    <w:p w14:paraId="696AC8FD">
      <w:pPr>
        <w:spacing w:after="0"/>
      </w:pPr>
      <w:r>
        <w:rPr>
          <w:rFonts w:ascii="Times New Roman" w:hAnsi="Times New Roman" w:eastAsia="Times New Roman"/>
          <w:b w:val="0"/>
          <w:i w:val="0"/>
        </w:rPr>
        <w:t>C. a private placement</w:t>
      </w:r>
    </w:p>
    <w:p w14:paraId="10DEB3DE">
      <w:pPr>
        <w:spacing w:after="0"/>
      </w:pPr>
      <w:r>
        <w:rPr>
          <w:rFonts w:ascii="Times New Roman" w:hAnsi="Times New Roman" w:eastAsia="Times New Roman"/>
          <w:b w:val="0"/>
          <w:i w:val="0"/>
        </w:rPr>
        <w:t>D. a syndicated loan</w:t>
      </w:r>
    </w:p>
    <w:p w14:paraId="72D781F3">
      <w:pPr>
        <w:spacing w:after="20"/>
      </w:pPr>
      <w:r>
        <w:rPr>
          <w:rFonts w:ascii="Times New Roman" w:hAnsi="Times New Roman" w:eastAsia="Times New Roman"/>
          <w:b/>
          <w:i w:val="0"/>
          <w:sz w:val="21"/>
        </w:rPr>
        <w:t>Question 6.</w:t>
      </w:r>
    </w:p>
    <w:p w14:paraId="4A3526C8">
      <w:pPr>
        <w:spacing w:after="40"/>
      </w:pPr>
      <w:r>
        <w:rPr>
          <w:rFonts w:ascii="Times New Roman" w:hAnsi="Times New Roman" w:eastAsia="Times New Roman"/>
          <w:b w:val="0"/>
          <w:i w:val="0"/>
        </w:rPr>
        <w:t>Which statement is most consistent with the semi-strong form of the efficient market hypothesis?</w:t>
      </w:r>
    </w:p>
    <w:p w14:paraId="7CFFDB40">
      <w:pPr>
        <w:spacing w:after="0"/>
      </w:pPr>
      <w:r>
        <w:rPr>
          <w:rFonts w:ascii="Times New Roman" w:hAnsi="Times New Roman" w:eastAsia="Times New Roman"/>
          <w:b w:val="0"/>
          <w:i w:val="0"/>
        </w:rPr>
        <w:t>A. Prices reflect only past prices</w:t>
      </w:r>
    </w:p>
    <w:p w14:paraId="556D4A15">
      <w:pPr>
        <w:spacing w:after="0"/>
      </w:pPr>
      <w:r>
        <w:rPr>
          <w:rFonts w:ascii="Times New Roman" w:hAnsi="Times New Roman" w:eastAsia="Times New Roman"/>
          <w:b w:val="0"/>
          <w:i w:val="0"/>
        </w:rPr>
        <w:t>B. Prices reflect all publicly available information</w:t>
      </w:r>
    </w:p>
    <w:p w14:paraId="2E59D3F2">
      <w:pPr>
        <w:spacing w:after="0"/>
      </w:pPr>
      <w:r>
        <w:rPr>
          <w:rFonts w:ascii="Times New Roman" w:hAnsi="Times New Roman" w:eastAsia="Times New Roman"/>
          <w:b w:val="0"/>
          <w:i w:val="0"/>
        </w:rPr>
        <w:t>C. Prices reflect all public and private information</w:t>
      </w:r>
    </w:p>
    <w:p w14:paraId="6380BE35">
      <w:pPr>
        <w:spacing w:after="0"/>
      </w:pPr>
      <w:r>
        <w:rPr>
          <w:rFonts w:ascii="Times New Roman" w:hAnsi="Times New Roman" w:eastAsia="Times New Roman"/>
          <w:b w:val="0"/>
          <w:i w:val="0"/>
        </w:rPr>
        <w:t>D. Technical analysis consistently earns abnormal profits</w:t>
      </w:r>
    </w:p>
    <w:p w14:paraId="393631FE">
      <w:pPr>
        <w:spacing w:after="20"/>
      </w:pPr>
      <w:r>
        <w:rPr>
          <w:rFonts w:ascii="Times New Roman" w:hAnsi="Times New Roman" w:eastAsia="Times New Roman"/>
          <w:b/>
          <w:i w:val="0"/>
          <w:sz w:val="21"/>
        </w:rPr>
        <w:t>Question 7.</w:t>
      </w:r>
    </w:p>
    <w:p w14:paraId="4FDF8BB2">
      <w:pPr>
        <w:spacing w:after="40"/>
      </w:pPr>
      <w:r>
        <w:rPr>
          <w:rFonts w:ascii="Times New Roman" w:hAnsi="Times New Roman" w:eastAsia="Times New Roman"/>
          <w:b w:val="0"/>
          <w:i w:val="0"/>
        </w:rPr>
        <w:t>A firm has market value of equity of £60m and market value of debt of £40m. Its beta is 1.1, the risk-free rate is 4%, the market risk premium is 6%, its pre-tax cost of debt is 5%, and the corporate tax rate is 20%. What is its WACC?</w:t>
      </w:r>
    </w:p>
    <w:p w14:paraId="65421B7A">
      <w:pPr>
        <w:spacing w:after="0"/>
      </w:pPr>
      <w:r>
        <w:rPr>
          <w:rFonts w:ascii="Times New Roman" w:hAnsi="Times New Roman" w:eastAsia="Times New Roman"/>
          <w:b w:val="0"/>
          <w:i w:val="0"/>
        </w:rPr>
        <w:t>A. 6.4%</w:t>
      </w:r>
    </w:p>
    <w:p w14:paraId="6E6C2C94">
      <w:pPr>
        <w:spacing w:after="0"/>
      </w:pPr>
      <w:r>
        <w:rPr>
          <w:rFonts w:ascii="Times New Roman" w:hAnsi="Times New Roman" w:eastAsia="Times New Roman"/>
          <w:b w:val="0"/>
          <w:i w:val="0"/>
        </w:rPr>
        <w:t>B. 8.0%</w:t>
      </w:r>
    </w:p>
    <w:p w14:paraId="068497DF">
      <w:pPr>
        <w:spacing w:after="0"/>
      </w:pPr>
      <w:r>
        <w:rPr>
          <w:rFonts w:ascii="Times New Roman" w:hAnsi="Times New Roman" w:eastAsia="Times New Roman"/>
          <w:b w:val="0"/>
          <w:i w:val="0"/>
        </w:rPr>
        <w:t>C. 9.6%</w:t>
      </w:r>
    </w:p>
    <w:p w14:paraId="5C00F9BE">
      <w:pPr>
        <w:spacing w:after="0"/>
      </w:pPr>
      <w:r>
        <w:rPr>
          <w:rFonts w:ascii="Times New Roman" w:hAnsi="Times New Roman" w:eastAsia="Times New Roman"/>
          <w:b w:val="0"/>
          <w:i w:val="0"/>
        </w:rPr>
        <w:t>D. 10.6%</w:t>
      </w:r>
    </w:p>
    <w:p w14:paraId="4BFC478A">
      <w:pPr>
        <w:spacing w:after="20"/>
      </w:pPr>
      <w:r>
        <w:rPr>
          <w:rFonts w:ascii="Times New Roman" w:hAnsi="Times New Roman" w:eastAsia="Times New Roman"/>
          <w:b/>
          <w:i w:val="0"/>
          <w:sz w:val="21"/>
        </w:rPr>
        <w:t>Question 8.</w:t>
      </w:r>
    </w:p>
    <w:p w14:paraId="0B1CFDA3">
      <w:pPr>
        <w:spacing w:after="40"/>
      </w:pPr>
      <w:r>
        <w:rPr>
          <w:rFonts w:ascii="Times New Roman" w:hAnsi="Times New Roman" w:eastAsia="Times New Roman"/>
          <w:b w:val="0"/>
          <w:i w:val="0"/>
        </w:rPr>
        <w:t>Luther plc has 5 million shares outstanding and its share price is £40. If it issues a 25% stock dividend, and the total equity value is unchanged, what is the new share price closest to?</w:t>
      </w:r>
    </w:p>
    <w:p w14:paraId="7A8EE25B">
      <w:pPr>
        <w:spacing w:after="0"/>
      </w:pPr>
      <w:r>
        <w:rPr>
          <w:rFonts w:ascii="Times New Roman" w:hAnsi="Times New Roman" w:eastAsia="Times New Roman"/>
          <w:b w:val="0"/>
          <w:i w:val="0"/>
        </w:rPr>
        <w:t>A. £25</w:t>
      </w:r>
    </w:p>
    <w:p w14:paraId="14882B80">
      <w:pPr>
        <w:spacing w:after="0"/>
      </w:pPr>
      <w:r>
        <w:rPr>
          <w:rFonts w:ascii="Times New Roman" w:hAnsi="Times New Roman" w:eastAsia="Times New Roman"/>
          <w:b w:val="0"/>
          <w:i w:val="0"/>
        </w:rPr>
        <w:t>B. £30</w:t>
      </w:r>
    </w:p>
    <w:p w14:paraId="14D92F15">
      <w:pPr>
        <w:spacing w:after="0"/>
      </w:pPr>
      <w:r>
        <w:rPr>
          <w:rFonts w:ascii="Times New Roman" w:hAnsi="Times New Roman" w:eastAsia="Times New Roman"/>
          <w:b w:val="0"/>
          <w:i w:val="0"/>
        </w:rPr>
        <w:t>C. £32</w:t>
      </w:r>
    </w:p>
    <w:p w14:paraId="0BF0F29F">
      <w:pPr>
        <w:spacing w:after="0"/>
      </w:pPr>
      <w:r>
        <w:rPr>
          <w:rFonts w:ascii="Times New Roman" w:hAnsi="Times New Roman" w:eastAsia="Times New Roman"/>
          <w:b w:val="0"/>
          <w:i w:val="0"/>
        </w:rPr>
        <w:t>D. £50</w:t>
      </w:r>
    </w:p>
    <w:p w14:paraId="21A86D20">
      <w:pPr>
        <w:spacing w:after="20"/>
      </w:pPr>
      <w:r>
        <w:rPr>
          <w:rFonts w:ascii="Times New Roman" w:hAnsi="Times New Roman" w:eastAsia="Times New Roman"/>
          <w:b/>
          <w:i w:val="0"/>
          <w:sz w:val="21"/>
        </w:rPr>
        <w:t>Question 9.</w:t>
      </w:r>
    </w:p>
    <w:p w14:paraId="50228661">
      <w:pPr>
        <w:spacing w:after="40"/>
      </w:pPr>
      <w:r>
        <w:rPr>
          <w:rFonts w:ascii="Times New Roman" w:hAnsi="Times New Roman" w:eastAsia="Times New Roman"/>
          <w:b w:val="0"/>
          <w:i w:val="0"/>
        </w:rPr>
        <w:t>An exporter signs a contract today to receive EUR 2 million in three months. The risk that the sterling value of that receipt changes before settlement is best described as:</w:t>
      </w:r>
    </w:p>
    <w:p w14:paraId="6E881D89">
      <w:pPr>
        <w:spacing w:after="0"/>
      </w:pPr>
      <w:r>
        <w:rPr>
          <w:rFonts w:ascii="Times New Roman" w:hAnsi="Times New Roman" w:eastAsia="Times New Roman"/>
          <w:b w:val="0"/>
          <w:i w:val="0"/>
        </w:rPr>
        <w:t>A. transaction risk</w:t>
      </w:r>
    </w:p>
    <w:p w14:paraId="3CCC9B98">
      <w:pPr>
        <w:spacing w:after="0"/>
      </w:pPr>
      <w:r>
        <w:rPr>
          <w:rFonts w:ascii="Times New Roman" w:hAnsi="Times New Roman" w:eastAsia="Times New Roman"/>
          <w:b w:val="0"/>
          <w:i w:val="0"/>
        </w:rPr>
        <w:t>B. translation risk</w:t>
      </w:r>
    </w:p>
    <w:p w14:paraId="43F75031">
      <w:pPr>
        <w:spacing w:after="0"/>
      </w:pPr>
      <w:r>
        <w:rPr>
          <w:rFonts w:ascii="Times New Roman" w:hAnsi="Times New Roman" w:eastAsia="Times New Roman"/>
          <w:b w:val="0"/>
          <w:i w:val="0"/>
        </w:rPr>
        <w:t>C. political risk</w:t>
      </w:r>
    </w:p>
    <w:p w14:paraId="7C54BEC3">
      <w:pPr>
        <w:spacing w:after="0"/>
      </w:pPr>
      <w:r>
        <w:rPr>
          <w:rFonts w:ascii="Times New Roman" w:hAnsi="Times New Roman" w:eastAsia="Times New Roman"/>
          <w:b w:val="0"/>
          <w:i w:val="0"/>
        </w:rPr>
        <w:t>D. diversifiable risk</w:t>
      </w:r>
    </w:p>
    <w:p w14:paraId="6FE34528">
      <w:pPr>
        <w:spacing w:after="20"/>
      </w:pPr>
      <w:r>
        <w:rPr>
          <w:rFonts w:ascii="Times New Roman" w:hAnsi="Times New Roman" w:eastAsia="Times New Roman"/>
          <w:b/>
          <w:i w:val="0"/>
          <w:sz w:val="21"/>
        </w:rPr>
        <w:t>Question 10.</w:t>
      </w:r>
    </w:p>
    <w:p w14:paraId="072F4FE7">
      <w:pPr>
        <w:spacing w:after="40"/>
      </w:pPr>
      <w:r>
        <w:rPr>
          <w:rFonts w:ascii="Times New Roman" w:hAnsi="Times New Roman" w:eastAsia="Times New Roman"/>
          <w:b w:val="0"/>
          <w:i w:val="0"/>
        </w:rPr>
        <w:t>Firm A has a pre-merger value of £150m and Firm B has a pre-merger value of £60m. The merger creates synergies worth £18m. If Firm A pays £70m in cash for Firm B, what is the NPV of the merger to Firm A?</w:t>
      </w:r>
    </w:p>
    <w:p w14:paraId="39BAFD8D">
      <w:pPr>
        <w:spacing w:after="0"/>
      </w:pPr>
      <w:r>
        <w:rPr>
          <w:rFonts w:ascii="Times New Roman" w:hAnsi="Times New Roman" w:eastAsia="Times New Roman"/>
          <w:b w:val="0"/>
          <w:i w:val="0"/>
        </w:rPr>
        <w:t>A. £8m</w:t>
      </w:r>
    </w:p>
    <w:p w14:paraId="0C14C3ED">
      <w:pPr>
        <w:spacing w:after="0"/>
      </w:pPr>
      <w:r>
        <w:rPr>
          <w:rFonts w:ascii="Times New Roman" w:hAnsi="Times New Roman" w:eastAsia="Times New Roman"/>
          <w:b w:val="0"/>
          <w:i w:val="0"/>
        </w:rPr>
        <w:t>B. £10m</w:t>
      </w:r>
    </w:p>
    <w:p w14:paraId="213B20F1">
      <w:pPr>
        <w:spacing w:after="0"/>
      </w:pPr>
      <w:r>
        <w:rPr>
          <w:rFonts w:ascii="Times New Roman" w:hAnsi="Times New Roman" w:eastAsia="Times New Roman"/>
          <w:b w:val="0"/>
          <w:i w:val="0"/>
        </w:rPr>
        <w:t>C. £18m</w:t>
      </w:r>
    </w:p>
    <w:p w14:paraId="3A402A6A">
      <w:pPr>
        <w:spacing w:after="0"/>
      </w:pPr>
      <w:r>
        <w:rPr>
          <w:rFonts w:ascii="Times New Roman" w:hAnsi="Times New Roman" w:eastAsia="Times New Roman"/>
          <w:b w:val="0"/>
          <w:i w:val="0"/>
        </w:rPr>
        <w:t>D. £28m</w:t>
      </w:r>
    </w:p>
    <w:p w14:paraId="553265EE">
      <w:r>
        <w:br w:type="page"/>
      </w:r>
    </w:p>
    <w:p w14:paraId="57925040">
      <w:pPr>
        <w:spacing w:after="120"/>
      </w:pPr>
      <w:r>
        <w:rPr>
          <w:rFonts w:ascii="Times New Roman" w:hAnsi="Times New Roman" w:eastAsia="Times New Roman"/>
          <w:b/>
          <w:i w:val="0"/>
          <w:sz w:val="22"/>
        </w:rPr>
        <w:t>Section B. Answer all questions. This section accounts for 80% of the total mark.</w:t>
      </w:r>
    </w:p>
    <w:p w14:paraId="29EA4D12">
      <w:pPr>
        <w:spacing w:after="80"/>
      </w:pPr>
      <w:r>
        <w:rPr>
          <w:rFonts w:ascii="Times New Roman" w:hAnsi="Times New Roman" w:eastAsia="Times New Roman"/>
          <w:b/>
          <w:i w:val="0"/>
          <w:sz w:val="24"/>
        </w:rPr>
        <w:t>Question 11 (30 marks)</w:t>
      </w:r>
    </w:p>
    <w:p w14:paraId="0D550D6B">
      <w:pPr>
        <w:spacing w:after="60"/>
      </w:pPr>
      <w:r>
        <w:rPr>
          <w:rFonts w:ascii="Times New Roman" w:hAnsi="Times New Roman" w:eastAsia="Times New Roman"/>
          <w:b w:val="0"/>
          <w:i w:val="0"/>
        </w:rPr>
        <w:t>Wessex Solar Ltd manufactures power management equipment and is considering an investment in a new battery control unit. The project is expected to last for four years. The finance director has decided to evaluate the project using NPV analysis. Forecast sales are shown below.</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2045"/>
        <w:gridCol w:w="2045"/>
        <w:gridCol w:w="2045"/>
        <w:gridCol w:w="2045"/>
      </w:tblGrid>
      <w:tr w14:paraId="3A70D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shd w:val="clear" w:color="auto" w:fill="D9EAF7"/>
            <w:vAlign w:val="center"/>
          </w:tcPr>
          <w:p w14:paraId="793D7643">
            <w:pPr>
              <w:spacing w:after="0" w:line="240" w:lineRule="auto"/>
              <w:jc w:val="center"/>
            </w:pPr>
            <w:r>
              <w:rPr>
                <w:rFonts w:ascii="Times New Roman" w:hAnsi="Times New Roman" w:eastAsia="Times New Roman"/>
                <w:b/>
                <w:sz w:val="19"/>
              </w:rPr>
              <w:t>Year</w:t>
            </w:r>
          </w:p>
        </w:tc>
        <w:tc>
          <w:tcPr>
            <w:tcW w:w="2045" w:type="dxa"/>
            <w:shd w:val="clear" w:color="auto" w:fill="D9EAF7"/>
            <w:vAlign w:val="center"/>
          </w:tcPr>
          <w:p w14:paraId="1FC42400">
            <w:pPr>
              <w:spacing w:after="0" w:line="240" w:lineRule="auto"/>
              <w:jc w:val="center"/>
            </w:pPr>
            <w:r>
              <w:rPr>
                <w:rFonts w:ascii="Times New Roman" w:hAnsi="Times New Roman" w:eastAsia="Times New Roman"/>
                <w:b/>
                <w:sz w:val="19"/>
              </w:rPr>
              <w:t>1</w:t>
            </w:r>
          </w:p>
        </w:tc>
        <w:tc>
          <w:tcPr>
            <w:tcW w:w="2045" w:type="dxa"/>
            <w:shd w:val="clear" w:color="auto" w:fill="D9EAF7"/>
            <w:vAlign w:val="center"/>
          </w:tcPr>
          <w:p w14:paraId="78FB817B">
            <w:pPr>
              <w:spacing w:after="0" w:line="240" w:lineRule="auto"/>
              <w:jc w:val="center"/>
            </w:pPr>
            <w:r>
              <w:rPr>
                <w:rFonts w:ascii="Times New Roman" w:hAnsi="Times New Roman" w:eastAsia="Times New Roman"/>
                <w:b/>
                <w:sz w:val="19"/>
              </w:rPr>
              <w:t>2</w:t>
            </w:r>
          </w:p>
        </w:tc>
        <w:tc>
          <w:tcPr>
            <w:tcW w:w="2045" w:type="dxa"/>
            <w:shd w:val="clear" w:color="auto" w:fill="D9EAF7"/>
            <w:vAlign w:val="center"/>
          </w:tcPr>
          <w:p w14:paraId="5301551B">
            <w:pPr>
              <w:spacing w:after="0" w:line="240" w:lineRule="auto"/>
              <w:jc w:val="center"/>
            </w:pPr>
            <w:r>
              <w:rPr>
                <w:rFonts w:ascii="Times New Roman" w:hAnsi="Times New Roman" w:eastAsia="Times New Roman"/>
                <w:b/>
                <w:sz w:val="19"/>
              </w:rPr>
              <w:t>3</w:t>
            </w:r>
          </w:p>
        </w:tc>
        <w:tc>
          <w:tcPr>
            <w:tcW w:w="2045" w:type="dxa"/>
            <w:shd w:val="clear" w:color="auto" w:fill="D9EAF7"/>
            <w:vAlign w:val="center"/>
          </w:tcPr>
          <w:p w14:paraId="7CFE8308">
            <w:pPr>
              <w:spacing w:after="0" w:line="240" w:lineRule="auto"/>
              <w:jc w:val="center"/>
            </w:pPr>
            <w:r>
              <w:rPr>
                <w:rFonts w:ascii="Times New Roman" w:hAnsi="Times New Roman" w:eastAsia="Times New Roman"/>
                <w:b/>
                <w:sz w:val="19"/>
              </w:rPr>
              <w:t>4</w:t>
            </w:r>
          </w:p>
        </w:tc>
      </w:tr>
      <w:tr w14:paraId="49A97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37D1759A">
            <w:pPr>
              <w:spacing w:after="0" w:line="240" w:lineRule="auto"/>
              <w:jc w:val="center"/>
            </w:pPr>
            <w:r>
              <w:rPr>
                <w:rFonts w:ascii="Times New Roman" w:hAnsi="Times New Roman" w:eastAsia="Times New Roman"/>
                <w:b w:val="0"/>
                <w:sz w:val="19"/>
              </w:rPr>
              <w:t>Units sold</w:t>
            </w:r>
          </w:p>
        </w:tc>
        <w:tc>
          <w:tcPr>
            <w:tcW w:w="2045" w:type="dxa"/>
            <w:vAlign w:val="center"/>
          </w:tcPr>
          <w:p w14:paraId="4B50FD61">
            <w:pPr>
              <w:spacing w:after="0" w:line="240" w:lineRule="auto"/>
              <w:jc w:val="center"/>
            </w:pPr>
            <w:r>
              <w:rPr>
                <w:rFonts w:ascii="Times New Roman" w:hAnsi="Times New Roman" w:eastAsia="Times New Roman"/>
                <w:b w:val="0"/>
                <w:sz w:val="19"/>
              </w:rPr>
              <w:t>16,000</w:t>
            </w:r>
          </w:p>
        </w:tc>
        <w:tc>
          <w:tcPr>
            <w:tcW w:w="2045" w:type="dxa"/>
            <w:vAlign w:val="center"/>
          </w:tcPr>
          <w:p w14:paraId="1DD6E44A">
            <w:pPr>
              <w:spacing w:after="0" w:line="240" w:lineRule="auto"/>
              <w:jc w:val="center"/>
            </w:pPr>
            <w:r>
              <w:rPr>
                <w:rFonts w:ascii="Times New Roman" w:hAnsi="Times New Roman" w:eastAsia="Times New Roman"/>
                <w:b w:val="0"/>
                <w:sz w:val="19"/>
              </w:rPr>
              <w:t>28,000</w:t>
            </w:r>
          </w:p>
        </w:tc>
        <w:tc>
          <w:tcPr>
            <w:tcW w:w="2045" w:type="dxa"/>
            <w:vAlign w:val="center"/>
          </w:tcPr>
          <w:p w14:paraId="165D36B0">
            <w:pPr>
              <w:spacing w:after="0" w:line="240" w:lineRule="auto"/>
              <w:jc w:val="center"/>
            </w:pPr>
            <w:r>
              <w:rPr>
                <w:rFonts w:ascii="Times New Roman" w:hAnsi="Times New Roman" w:eastAsia="Times New Roman"/>
                <w:b w:val="0"/>
                <w:sz w:val="19"/>
              </w:rPr>
              <w:t>24,000</w:t>
            </w:r>
          </w:p>
        </w:tc>
        <w:tc>
          <w:tcPr>
            <w:tcW w:w="2045" w:type="dxa"/>
            <w:vAlign w:val="center"/>
          </w:tcPr>
          <w:p w14:paraId="58E532CC">
            <w:pPr>
              <w:spacing w:after="0" w:line="240" w:lineRule="auto"/>
              <w:jc w:val="center"/>
            </w:pPr>
            <w:r>
              <w:rPr>
                <w:rFonts w:ascii="Times New Roman" w:hAnsi="Times New Roman" w:eastAsia="Times New Roman"/>
                <w:b w:val="0"/>
                <w:sz w:val="19"/>
              </w:rPr>
              <w:t>15,000</w:t>
            </w:r>
          </w:p>
        </w:tc>
      </w:tr>
    </w:tbl>
    <w:p w14:paraId="0D3F17EE">
      <w:pPr>
        <w:spacing w:after="60"/>
      </w:pPr>
      <w:r>
        <w:rPr>
          <w:rFonts w:ascii="Times New Roman" w:hAnsi="Times New Roman" w:eastAsia="Times New Roman"/>
          <w:b w:val="0"/>
          <w:i w:val="0"/>
        </w:rPr>
        <w:t>The following information relates to the investment proposal:</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35A53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5308BD0C">
            <w:pPr>
              <w:spacing w:after="0" w:line="240" w:lineRule="auto"/>
              <w:jc w:val="center"/>
            </w:pPr>
            <w:r>
              <w:rPr>
                <w:rFonts w:ascii="Times New Roman" w:hAnsi="Times New Roman" w:eastAsia="Times New Roman"/>
                <w:b/>
                <w:sz w:val="18"/>
              </w:rPr>
              <w:t>Item</w:t>
            </w:r>
          </w:p>
        </w:tc>
        <w:tc>
          <w:tcPr>
            <w:tcW w:w="5112" w:type="dxa"/>
            <w:shd w:val="clear" w:color="auto" w:fill="D9EAF7"/>
            <w:vAlign w:val="center"/>
          </w:tcPr>
          <w:p w14:paraId="198DB188">
            <w:pPr>
              <w:spacing w:after="0" w:line="240" w:lineRule="auto"/>
              <w:jc w:val="center"/>
            </w:pPr>
            <w:r>
              <w:rPr>
                <w:rFonts w:ascii="Times New Roman" w:hAnsi="Times New Roman" w:eastAsia="Times New Roman"/>
                <w:b/>
                <w:sz w:val="18"/>
              </w:rPr>
              <w:t>Information</w:t>
            </w:r>
          </w:p>
        </w:tc>
      </w:tr>
      <w:tr w14:paraId="21E7E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E898493">
            <w:pPr>
              <w:spacing w:after="0" w:line="240" w:lineRule="auto"/>
              <w:jc w:val="center"/>
            </w:pPr>
            <w:r>
              <w:rPr>
                <w:rFonts w:ascii="Times New Roman" w:hAnsi="Times New Roman" w:eastAsia="Times New Roman"/>
                <w:b w:val="0"/>
                <w:sz w:val="18"/>
              </w:rPr>
              <w:t>Initial investment</w:t>
            </w:r>
          </w:p>
        </w:tc>
        <w:tc>
          <w:tcPr>
            <w:tcW w:w="5112" w:type="dxa"/>
            <w:vAlign w:val="center"/>
          </w:tcPr>
          <w:p w14:paraId="64ED95B0">
            <w:pPr>
              <w:spacing w:after="0" w:line="240" w:lineRule="auto"/>
              <w:jc w:val="center"/>
            </w:pPr>
            <w:r>
              <w:rPr>
                <w:rFonts w:ascii="Times New Roman" w:hAnsi="Times New Roman" w:eastAsia="Times New Roman"/>
                <w:b w:val="0"/>
                <w:sz w:val="18"/>
              </w:rPr>
              <w:t>£180m</w:t>
            </w:r>
          </w:p>
        </w:tc>
      </w:tr>
      <w:tr w14:paraId="02B7D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0E84D74">
            <w:pPr>
              <w:spacing w:after="0" w:line="240" w:lineRule="auto"/>
              <w:jc w:val="center"/>
            </w:pPr>
            <w:r>
              <w:rPr>
                <w:rFonts w:ascii="Times New Roman" w:hAnsi="Times New Roman" w:eastAsia="Times New Roman"/>
                <w:b w:val="0"/>
                <w:sz w:val="18"/>
              </w:rPr>
              <w:t>Initial investment in working capital at Year 0</w:t>
            </w:r>
          </w:p>
        </w:tc>
        <w:tc>
          <w:tcPr>
            <w:tcW w:w="5112" w:type="dxa"/>
            <w:vAlign w:val="center"/>
          </w:tcPr>
          <w:p w14:paraId="42C1199E">
            <w:pPr>
              <w:spacing w:after="0" w:line="240" w:lineRule="auto"/>
              <w:jc w:val="center"/>
            </w:pPr>
            <w:r>
              <w:rPr>
                <w:rFonts w:ascii="Times New Roman" w:hAnsi="Times New Roman" w:eastAsia="Times New Roman"/>
                <w:b w:val="0"/>
                <w:sz w:val="18"/>
              </w:rPr>
              <w:t>£15m, fully recovered at the end of Year 4</w:t>
            </w:r>
          </w:p>
        </w:tc>
      </w:tr>
      <w:tr w14:paraId="1E5CD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8A6D97D">
            <w:pPr>
              <w:spacing w:after="0" w:line="240" w:lineRule="auto"/>
              <w:jc w:val="center"/>
            </w:pPr>
            <w:r>
              <w:rPr>
                <w:rFonts w:ascii="Times New Roman" w:hAnsi="Times New Roman" w:eastAsia="Times New Roman"/>
                <w:b w:val="0"/>
                <w:sz w:val="18"/>
              </w:rPr>
              <w:t>Residual value at the end of Year 4</w:t>
            </w:r>
          </w:p>
        </w:tc>
        <w:tc>
          <w:tcPr>
            <w:tcW w:w="5112" w:type="dxa"/>
            <w:vAlign w:val="center"/>
          </w:tcPr>
          <w:p w14:paraId="36EBB8A2">
            <w:pPr>
              <w:spacing w:after="0" w:line="240" w:lineRule="auto"/>
              <w:jc w:val="center"/>
            </w:pPr>
            <w:r>
              <w:rPr>
                <w:rFonts w:ascii="Times New Roman" w:hAnsi="Times New Roman" w:eastAsia="Times New Roman"/>
                <w:b w:val="0"/>
                <w:sz w:val="18"/>
              </w:rPr>
              <w:t>£25m</w:t>
            </w:r>
          </w:p>
        </w:tc>
      </w:tr>
      <w:tr w14:paraId="45218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94132C7">
            <w:pPr>
              <w:spacing w:after="0" w:line="240" w:lineRule="auto"/>
              <w:jc w:val="center"/>
            </w:pPr>
            <w:r>
              <w:rPr>
                <w:rFonts w:ascii="Times New Roman" w:hAnsi="Times New Roman" w:eastAsia="Times New Roman"/>
                <w:b w:val="0"/>
                <w:sz w:val="18"/>
              </w:rPr>
              <w:t>Selling price per unit (Year 1)</w:t>
            </w:r>
          </w:p>
        </w:tc>
        <w:tc>
          <w:tcPr>
            <w:tcW w:w="5112" w:type="dxa"/>
            <w:vAlign w:val="center"/>
          </w:tcPr>
          <w:p w14:paraId="53704618">
            <w:pPr>
              <w:spacing w:after="0" w:line="240" w:lineRule="auto"/>
              <w:jc w:val="center"/>
            </w:pPr>
            <w:r>
              <w:rPr>
                <w:rFonts w:ascii="Times New Roman" w:hAnsi="Times New Roman" w:eastAsia="Times New Roman"/>
                <w:b w:val="0"/>
                <w:sz w:val="18"/>
              </w:rPr>
              <w:t>£18,000</w:t>
            </w:r>
          </w:p>
        </w:tc>
      </w:tr>
      <w:tr w14:paraId="73BA7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E88E909">
            <w:pPr>
              <w:spacing w:after="0" w:line="240" w:lineRule="auto"/>
              <w:jc w:val="center"/>
            </w:pPr>
            <w:r>
              <w:rPr>
                <w:rFonts w:ascii="Times New Roman" w:hAnsi="Times New Roman" w:eastAsia="Times New Roman"/>
                <w:b w:val="0"/>
                <w:sz w:val="18"/>
              </w:rPr>
              <w:t>Expected selling price inflation</w:t>
            </w:r>
          </w:p>
        </w:tc>
        <w:tc>
          <w:tcPr>
            <w:tcW w:w="5112" w:type="dxa"/>
            <w:vAlign w:val="center"/>
          </w:tcPr>
          <w:p w14:paraId="6ADCCDAB">
            <w:pPr>
              <w:spacing w:after="0" w:line="240" w:lineRule="auto"/>
              <w:jc w:val="center"/>
            </w:pPr>
            <w:r>
              <w:rPr>
                <w:rFonts w:ascii="Times New Roman" w:hAnsi="Times New Roman" w:eastAsia="Times New Roman"/>
                <w:b w:val="0"/>
                <w:sz w:val="18"/>
              </w:rPr>
              <w:t>4% per year</w:t>
            </w:r>
          </w:p>
        </w:tc>
      </w:tr>
      <w:tr w14:paraId="711BA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AC60360">
            <w:pPr>
              <w:spacing w:after="0" w:line="240" w:lineRule="auto"/>
              <w:jc w:val="center"/>
            </w:pPr>
            <w:r>
              <w:rPr>
                <w:rFonts w:ascii="Times New Roman" w:hAnsi="Times New Roman" w:eastAsia="Times New Roman"/>
                <w:b w:val="0"/>
                <w:sz w:val="18"/>
              </w:rPr>
              <w:t>Variable cost per unit (Year 1)</w:t>
            </w:r>
          </w:p>
        </w:tc>
        <w:tc>
          <w:tcPr>
            <w:tcW w:w="5112" w:type="dxa"/>
            <w:vAlign w:val="center"/>
          </w:tcPr>
          <w:p w14:paraId="23626593">
            <w:pPr>
              <w:spacing w:after="0" w:line="240" w:lineRule="auto"/>
              <w:jc w:val="center"/>
            </w:pPr>
            <w:r>
              <w:rPr>
                <w:rFonts w:ascii="Times New Roman" w:hAnsi="Times New Roman" w:eastAsia="Times New Roman"/>
                <w:b w:val="0"/>
                <w:sz w:val="18"/>
              </w:rPr>
              <w:t>£11,000</w:t>
            </w:r>
          </w:p>
        </w:tc>
      </w:tr>
      <w:tr w14:paraId="3FEC6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30F6A7E">
            <w:pPr>
              <w:spacing w:after="0" w:line="240" w:lineRule="auto"/>
              <w:jc w:val="center"/>
            </w:pPr>
            <w:r>
              <w:rPr>
                <w:rFonts w:ascii="Times New Roman" w:hAnsi="Times New Roman" w:eastAsia="Times New Roman"/>
                <w:b w:val="0"/>
                <w:sz w:val="18"/>
              </w:rPr>
              <w:t>Expected variable cost inflation</w:t>
            </w:r>
          </w:p>
        </w:tc>
        <w:tc>
          <w:tcPr>
            <w:tcW w:w="5112" w:type="dxa"/>
            <w:vAlign w:val="center"/>
          </w:tcPr>
          <w:p w14:paraId="3FD65F9A">
            <w:pPr>
              <w:spacing w:after="0" w:line="240" w:lineRule="auto"/>
              <w:jc w:val="center"/>
            </w:pPr>
            <w:r>
              <w:rPr>
                <w:rFonts w:ascii="Times New Roman" w:hAnsi="Times New Roman" w:eastAsia="Times New Roman"/>
                <w:b w:val="0"/>
                <w:sz w:val="18"/>
              </w:rPr>
              <w:t>5% per year</w:t>
            </w:r>
          </w:p>
        </w:tc>
      </w:tr>
      <w:tr w14:paraId="2A60B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D3F5F0F">
            <w:pPr>
              <w:spacing w:after="0" w:line="240" w:lineRule="auto"/>
              <w:jc w:val="center"/>
            </w:pPr>
            <w:r>
              <w:rPr>
                <w:rFonts w:ascii="Times New Roman" w:hAnsi="Times New Roman" w:eastAsia="Times New Roman"/>
                <w:b w:val="0"/>
                <w:sz w:val="18"/>
              </w:rPr>
              <w:t>Incremental fixed costs (Year 1)</w:t>
            </w:r>
          </w:p>
        </w:tc>
        <w:tc>
          <w:tcPr>
            <w:tcW w:w="5112" w:type="dxa"/>
            <w:vAlign w:val="center"/>
          </w:tcPr>
          <w:p w14:paraId="7E5E7905">
            <w:pPr>
              <w:spacing w:after="0" w:line="240" w:lineRule="auto"/>
              <w:jc w:val="center"/>
            </w:pPr>
            <w:r>
              <w:rPr>
                <w:rFonts w:ascii="Times New Roman" w:hAnsi="Times New Roman" w:eastAsia="Times New Roman"/>
                <w:b w:val="0"/>
                <w:sz w:val="18"/>
              </w:rPr>
              <w:t>£55m per year</w:t>
            </w:r>
          </w:p>
        </w:tc>
      </w:tr>
      <w:tr w14:paraId="62D04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DB2AF88">
            <w:pPr>
              <w:spacing w:after="0" w:line="240" w:lineRule="auto"/>
              <w:jc w:val="center"/>
            </w:pPr>
            <w:r>
              <w:rPr>
                <w:rFonts w:ascii="Times New Roman" w:hAnsi="Times New Roman" w:eastAsia="Times New Roman"/>
                <w:b w:val="0"/>
                <w:sz w:val="18"/>
              </w:rPr>
              <w:t>Expected fixed cost inflation</w:t>
            </w:r>
          </w:p>
        </w:tc>
        <w:tc>
          <w:tcPr>
            <w:tcW w:w="5112" w:type="dxa"/>
            <w:vAlign w:val="center"/>
          </w:tcPr>
          <w:p w14:paraId="2C5300C8">
            <w:pPr>
              <w:spacing w:after="0" w:line="240" w:lineRule="auto"/>
              <w:jc w:val="center"/>
            </w:pPr>
            <w:r>
              <w:rPr>
                <w:rFonts w:ascii="Times New Roman" w:hAnsi="Times New Roman" w:eastAsia="Times New Roman"/>
                <w:b w:val="0"/>
                <w:sz w:val="18"/>
              </w:rPr>
              <w:t>8% per year</w:t>
            </w:r>
          </w:p>
        </w:tc>
      </w:tr>
      <w:tr w14:paraId="1403A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2E8FAAF">
            <w:pPr>
              <w:spacing w:after="0" w:line="240" w:lineRule="auto"/>
              <w:jc w:val="center"/>
            </w:pPr>
            <w:r>
              <w:rPr>
                <w:rFonts w:ascii="Times New Roman" w:hAnsi="Times New Roman" w:eastAsia="Times New Roman"/>
                <w:b w:val="0"/>
                <w:sz w:val="18"/>
              </w:rPr>
              <w:t>Cost of capital</w:t>
            </w:r>
          </w:p>
        </w:tc>
        <w:tc>
          <w:tcPr>
            <w:tcW w:w="5112" w:type="dxa"/>
            <w:vAlign w:val="center"/>
          </w:tcPr>
          <w:p w14:paraId="1237CEE2">
            <w:pPr>
              <w:spacing w:after="0" w:line="240" w:lineRule="auto"/>
              <w:jc w:val="center"/>
            </w:pPr>
            <w:r>
              <w:rPr>
                <w:rFonts w:ascii="Times New Roman" w:hAnsi="Times New Roman" w:eastAsia="Times New Roman"/>
                <w:b w:val="0"/>
                <w:sz w:val="18"/>
              </w:rPr>
              <w:t>11%</w:t>
            </w:r>
          </w:p>
        </w:tc>
      </w:tr>
    </w:tbl>
    <w:p w14:paraId="633DE9F5">
      <w:pPr>
        <w:spacing w:after="60"/>
      </w:pPr>
      <w:r>
        <w:rPr>
          <w:rFonts w:ascii="Times New Roman" w:hAnsi="Times New Roman" w:eastAsia="Times New Roman"/>
          <w:b w:val="0"/>
          <w:i/>
        </w:rPr>
        <w:t>For this analysis, assume there are no taxes.</w:t>
      </w:r>
    </w:p>
    <w:p w14:paraId="41C05F7E">
      <w:pPr>
        <w:spacing w:after="60"/>
      </w:pPr>
      <w:r>
        <w:rPr>
          <w:rFonts w:ascii="Times New Roman" w:hAnsi="Times New Roman" w:eastAsia="Times New Roman"/>
          <w:b/>
          <w:i w:val="0"/>
        </w:rPr>
        <w:t>Required:</w:t>
      </w:r>
    </w:p>
    <w:p w14:paraId="1B52A998">
      <w:pPr>
        <w:pStyle w:val="16"/>
      </w:pPr>
      <w:r>
        <w:rPr>
          <w:rFonts w:ascii="Times New Roman" w:hAnsi="Times New Roman" w:eastAsia="Times New Roman"/>
          <w:sz w:val="21"/>
        </w:rPr>
        <w:t>Calculate the project NPV and recommend whether the Board should proceed with the investment. (14 marks)</w:t>
      </w:r>
    </w:p>
    <w:p w14:paraId="2EC174AF">
      <w:pPr>
        <w:pStyle w:val="16"/>
      </w:pPr>
      <w:r>
        <w:rPr>
          <w:rFonts w:ascii="Times New Roman" w:hAnsi="Times New Roman" w:eastAsia="Times New Roman"/>
          <w:sz w:val="21"/>
        </w:rPr>
        <w:t>Explain three reasons why NPV is usually preferred to payback and accounting rate of return when evaluating investment projects. (6 marks)</w:t>
      </w:r>
    </w:p>
    <w:p w14:paraId="0AD25EA9">
      <w:pPr>
        <w:pStyle w:val="16"/>
      </w:pPr>
      <w:r>
        <w:rPr>
          <w:rFonts w:ascii="Times New Roman" w:hAnsi="Times New Roman" w:eastAsia="Times New Roman"/>
          <w:sz w:val="21"/>
        </w:rPr>
        <w:t>Explain what real options are and how they may affect the investment decision for Wessex Solar Ltd. (5 marks)</w:t>
      </w:r>
    </w:p>
    <w:p w14:paraId="2F0CDCE0">
      <w:pPr>
        <w:pStyle w:val="16"/>
      </w:pPr>
      <w:r>
        <w:rPr>
          <w:rFonts w:ascii="Times New Roman" w:hAnsi="Times New Roman" w:eastAsia="Times New Roman"/>
          <w:sz w:val="21"/>
        </w:rPr>
        <w:t>The sales director will receive a large bonus if the project is accepted. Explain how agency theory and corporate governance mechanisms can help the Board manage this potential conflict of interest. (5 marks)</w:t>
      </w:r>
    </w:p>
    <w:p w14:paraId="1EFDBDC6">
      <w:pPr>
        <w:spacing w:after="80"/>
      </w:pPr>
      <w:r>
        <w:rPr>
          <w:rFonts w:ascii="Times New Roman" w:hAnsi="Times New Roman" w:eastAsia="Times New Roman"/>
          <w:b/>
          <w:i w:val="0"/>
          <w:sz w:val="24"/>
        </w:rPr>
        <w:t>Question 12 (30 marks)</w:t>
      </w:r>
    </w:p>
    <w:p w14:paraId="7531DCAE">
      <w:pPr>
        <w:spacing w:after="60"/>
      </w:pPr>
      <w:r>
        <w:rPr>
          <w:rFonts w:ascii="Times New Roman" w:hAnsi="Times New Roman" w:eastAsia="Times New Roman"/>
          <w:b w:val="0"/>
          <w:i w:val="0"/>
        </w:rPr>
        <w:t>Orion Appliances Plc currently has the following sources of finance as at 31 December 2025:</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0DACA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12" w:type="dxa"/>
            <w:shd w:val="clear" w:color="auto" w:fill="D9EAF7"/>
            <w:vAlign w:val="center"/>
          </w:tcPr>
          <w:p w14:paraId="56DCCC87">
            <w:pPr>
              <w:spacing w:after="0" w:line="240" w:lineRule="auto"/>
              <w:jc w:val="center"/>
            </w:pPr>
            <w:r>
              <w:rPr>
                <w:rFonts w:ascii="Times New Roman" w:hAnsi="Times New Roman" w:eastAsia="Times New Roman"/>
                <w:b/>
                <w:sz w:val="19"/>
              </w:rPr>
              <w:t>Source of finance</w:t>
            </w:r>
          </w:p>
        </w:tc>
        <w:tc>
          <w:tcPr>
            <w:tcW w:w="5112" w:type="dxa"/>
            <w:shd w:val="clear" w:color="auto" w:fill="D9EAF7"/>
            <w:vAlign w:val="center"/>
          </w:tcPr>
          <w:p w14:paraId="5EFAAC5D">
            <w:pPr>
              <w:spacing w:after="0" w:line="240" w:lineRule="auto"/>
              <w:jc w:val="center"/>
            </w:pPr>
            <w:r>
              <w:rPr>
                <w:rFonts w:ascii="Times New Roman" w:hAnsi="Times New Roman" w:eastAsia="Times New Roman"/>
                <w:b/>
                <w:sz w:val="19"/>
              </w:rPr>
              <w:t>Nominal value</w:t>
            </w:r>
          </w:p>
        </w:tc>
      </w:tr>
      <w:tr w14:paraId="64E0C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1437EC8">
            <w:pPr>
              <w:spacing w:after="0" w:line="240" w:lineRule="auto"/>
              <w:jc w:val="center"/>
            </w:pPr>
            <w:r>
              <w:rPr>
                <w:rFonts w:ascii="Times New Roman" w:hAnsi="Times New Roman" w:eastAsia="Times New Roman"/>
                <w:b w:val="0"/>
                <w:sz w:val="19"/>
              </w:rPr>
              <w:t>Ordinary shares</w:t>
            </w:r>
          </w:p>
        </w:tc>
        <w:tc>
          <w:tcPr>
            <w:tcW w:w="5112" w:type="dxa"/>
            <w:vAlign w:val="center"/>
          </w:tcPr>
          <w:p w14:paraId="5FBAB2A0">
            <w:pPr>
              <w:spacing w:after="0" w:line="240" w:lineRule="auto"/>
              <w:jc w:val="center"/>
            </w:pPr>
            <w:r>
              <w:rPr>
                <w:rFonts w:ascii="Times New Roman" w:hAnsi="Times New Roman" w:eastAsia="Times New Roman"/>
                <w:b w:val="0"/>
                <w:sz w:val="19"/>
              </w:rPr>
              <w:t>£50m</w:t>
            </w:r>
          </w:p>
        </w:tc>
      </w:tr>
      <w:tr w14:paraId="3EAE0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1A44861">
            <w:pPr>
              <w:spacing w:after="0" w:line="240" w:lineRule="auto"/>
              <w:jc w:val="center"/>
            </w:pPr>
            <w:r>
              <w:rPr>
                <w:rFonts w:ascii="Times New Roman" w:hAnsi="Times New Roman" w:eastAsia="Times New Roman"/>
                <w:b w:val="0"/>
                <w:sz w:val="19"/>
              </w:rPr>
              <w:t>5% Corporate bonds</w:t>
            </w:r>
          </w:p>
        </w:tc>
        <w:tc>
          <w:tcPr>
            <w:tcW w:w="5112" w:type="dxa"/>
            <w:vAlign w:val="center"/>
          </w:tcPr>
          <w:p w14:paraId="6971F509">
            <w:pPr>
              <w:spacing w:after="0" w:line="240" w:lineRule="auto"/>
              <w:jc w:val="center"/>
            </w:pPr>
            <w:r>
              <w:rPr>
                <w:rFonts w:ascii="Times New Roman" w:hAnsi="Times New Roman" w:eastAsia="Times New Roman"/>
                <w:b w:val="0"/>
                <w:sz w:val="19"/>
              </w:rPr>
              <w:t>£40m</w:t>
            </w:r>
          </w:p>
        </w:tc>
      </w:tr>
    </w:tbl>
    <w:p w14:paraId="5CD9FAC4">
      <w:pPr>
        <w:pStyle w:val="16"/>
      </w:pPr>
      <w:r>
        <w:rPr>
          <w:rFonts w:ascii="Times New Roman" w:hAnsi="Times New Roman" w:eastAsia="Times New Roman"/>
          <w:sz w:val="21"/>
        </w:rPr>
        <w:t>The ordinary shares have a nominal value of £2 per share and currently trade at £7.50 per share.</w:t>
      </w:r>
    </w:p>
    <w:p w14:paraId="4B2E59D9">
      <w:pPr>
        <w:pStyle w:val="16"/>
      </w:pPr>
      <w:r>
        <w:rPr>
          <w:rFonts w:ascii="Times New Roman" w:hAnsi="Times New Roman" w:eastAsia="Times New Roman"/>
          <w:sz w:val="21"/>
        </w:rPr>
        <w:t>Orion has an equity beta of 1.15. The Treasury bill rate is 3.5% and the expected market return is 8.5%.</w:t>
      </w:r>
    </w:p>
    <w:p w14:paraId="3E60D719">
      <w:pPr>
        <w:pStyle w:val="16"/>
      </w:pPr>
      <w:r>
        <w:rPr>
          <w:rFonts w:ascii="Times New Roman" w:hAnsi="Times New Roman" w:eastAsia="Times New Roman"/>
          <w:sz w:val="21"/>
        </w:rPr>
        <w:t>Each bond has a nominal value of £100 and currently trades at £96.50. The current yield to maturity is 6.2%.</w:t>
      </w:r>
    </w:p>
    <w:p w14:paraId="3238A285">
      <w:pPr>
        <w:pStyle w:val="16"/>
      </w:pPr>
      <w:r>
        <w:rPr>
          <w:rFonts w:ascii="Times New Roman" w:hAnsi="Times New Roman" w:eastAsia="Times New Roman"/>
          <w:sz w:val="21"/>
        </w:rPr>
        <w:t>Orion has just paid a dividend of £0.90 per share. The board wants to move towards a target payout ratio of 50%. Expected EPS next year is £3.80 and the dividend adjustment factor is 30%.</w:t>
      </w:r>
    </w:p>
    <w:p w14:paraId="2171856F">
      <w:pPr>
        <w:pStyle w:val="16"/>
      </w:pPr>
      <w:r>
        <w:rPr>
          <w:rFonts w:ascii="Times New Roman" w:hAnsi="Times New Roman" w:eastAsia="Times New Roman"/>
          <w:sz w:val="21"/>
        </w:rPr>
        <w:t>Orion pays corporation tax at 25%.</w:t>
      </w:r>
    </w:p>
    <w:p w14:paraId="45A21DC7">
      <w:pPr>
        <w:spacing w:after="80"/>
      </w:pPr>
      <w:r>
        <w:rPr>
          <w:rFonts w:ascii="Times New Roman" w:hAnsi="Times New Roman" w:eastAsia="Times New Roman"/>
          <w:b w:val="0"/>
          <w:i w:val="0"/>
        </w:rPr>
        <w:t>The company is seeking an additional £180m of long-term funding for a new project. The board is debating whether to use debt, a seasoned equity offering, or a mixture of both.</w:t>
      </w:r>
    </w:p>
    <w:p w14:paraId="51CFEF57">
      <w:pPr>
        <w:spacing w:after="60"/>
      </w:pPr>
      <w:r>
        <w:rPr>
          <w:rFonts w:ascii="Times New Roman" w:hAnsi="Times New Roman" w:eastAsia="Times New Roman"/>
          <w:b/>
          <w:i w:val="0"/>
        </w:rPr>
        <w:t>Required:</w:t>
      </w:r>
    </w:p>
    <w:p w14:paraId="271887D9">
      <w:pPr>
        <w:pStyle w:val="16"/>
      </w:pPr>
      <w:r>
        <w:rPr>
          <w:rFonts w:ascii="Times New Roman" w:hAnsi="Times New Roman" w:eastAsia="Times New Roman"/>
          <w:sz w:val="21"/>
        </w:rPr>
        <w:t>Calculate Orion Appliances Plc's weighted average cost of capital based on market values. (10 marks)</w:t>
      </w:r>
    </w:p>
    <w:p w14:paraId="02EFB63F">
      <w:pPr>
        <w:pStyle w:val="16"/>
      </w:pPr>
      <w:r>
        <w:rPr>
          <w:rFonts w:ascii="Times New Roman" w:hAnsi="Times New Roman" w:eastAsia="Times New Roman"/>
          <w:sz w:val="21"/>
        </w:rPr>
        <w:t>Critically discuss three benefits and two risks of using debt rather than equity to finance the new project. Refer to relevant capital structure theory where appropriate. (8 marks)</w:t>
      </w:r>
    </w:p>
    <w:p w14:paraId="6E5B8CFA">
      <w:pPr>
        <w:pStyle w:val="16"/>
      </w:pPr>
      <w:r>
        <w:rPr>
          <w:rFonts w:ascii="Times New Roman" w:hAnsi="Times New Roman" w:eastAsia="Times New Roman"/>
          <w:sz w:val="21"/>
        </w:rPr>
        <w:t>Explain two long-term financing alternatives available to a listed company and discuss why the announcement of a seasoned equity offering may lead to a fall in the share price. (6 marks)</w:t>
      </w:r>
    </w:p>
    <w:p w14:paraId="3B432AC6">
      <w:pPr>
        <w:pStyle w:val="16"/>
      </w:pPr>
      <w:r>
        <w:rPr>
          <w:rFonts w:ascii="Times New Roman" w:hAnsi="Times New Roman" w:eastAsia="Times New Roman"/>
          <w:sz w:val="21"/>
        </w:rPr>
        <w:t>Using the dividend smoothing model, calculate next year's dividend per share and the total cash required for dividends. Briefly explain why firms may smooth dividends. (6 marks)</w:t>
      </w:r>
    </w:p>
    <w:p w14:paraId="333EB3F5">
      <w:pPr>
        <w:spacing w:after="80"/>
      </w:pPr>
      <w:r>
        <w:rPr>
          <w:rFonts w:ascii="Times New Roman" w:hAnsi="Times New Roman" w:eastAsia="Times New Roman"/>
          <w:b/>
          <w:i w:val="0"/>
          <w:sz w:val="24"/>
        </w:rPr>
        <w:t>Question 13 (20 marks)</w:t>
      </w:r>
    </w:p>
    <w:p w14:paraId="71E9CB58">
      <w:pPr>
        <w:spacing w:after="60"/>
      </w:pPr>
      <w:r>
        <w:rPr>
          <w:rFonts w:ascii="Times New Roman" w:hAnsi="Times New Roman" w:eastAsia="Times New Roman"/>
          <w:b w:val="0"/>
          <w:i w:val="0"/>
        </w:rPr>
        <w:t>Cedar Retail Plc is a fast-growing retailer. All sales and purchases are on credit. Selected financial information is shown below:</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77DEE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vAlign w:val="center"/>
          </w:tcPr>
          <w:p w14:paraId="6BDC3504">
            <w:pPr>
              <w:spacing w:after="0" w:line="240" w:lineRule="auto"/>
              <w:jc w:val="center"/>
            </w:pPr>
          </w:p>
        </w:tc>
        <w:tc>
          <w:tcPr>
            <w:tcW w:w="3408" w:type="dxa"/>
            <w:shd w:val="clear" w:color="auto" w:fill="D9EAF7"/>
            <w:vAlign w:val="center"/>
          </w:tcPr>
          <w:p w14:paraId="26E75925">
            <w:pPr>
              <w:spacing w:after="0" w:line="240" w:lineRule="auto"/>
              <w:jc w:val="center"/>
            </w:pPr>
            <w:r>
              <w:rPr>
                <w:rFonts w:ascii="Times New Roman" w:hAnsi="Times New Roman" w:eastAsia="Times New Roman"/>
                <w:b/>
                <w:sz w:val="19"/>
              </w:rPr>
              <w:t>2025</w:t>
            </w:r>
          </w:p>
        </w:tc>
        <w:tc>
          <w:tcPr>
            <w:tcW w:w="3408" w:type="dxa"/>
            <w:shd w:val="clear" w:color="auto" w:fill="D9EAF7"/>
            <w:vAlign w:val="center"/>
          </w:tcPr>
          <w:p w14:paraId="58FB2770">
            <w:pPr>
              <w:spacing w:after="0" w:line="240" w:lineRule="auto"/>
              <w:jc w:val="center"/>
            </w:pPr>
            <w:r>
              <w:rPr>
                <w:rFonts w:ascii="Times New Roman" w:hAnsi="Times New Roman" w:eastAsia="Times New Roman"/>
                <w:b/>
                <w:sz w:val="19"/>
              </w:rPr>
              <w:t>2026</w:t>
            </w:r>
          </w:p>
        </w:tc>
      </w:tr>
      <w:tr w14:paraId="349C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807925D">
            <w:pPr>
              <w:spacing w:after="0" w:line="240" w:lineRule="auto"/>
              <w:jc w:val="center"/>
            </w:pPr>
            <w:r>
              <w:rPr>
                <w:rFonts w:ascii="Times New Roman" w:hAnsi="Times New Roman" w:eastAsia="Times New Roman"/>
                <w:b w:val="0"/>
                <w:sz w:val="19"/>
              </w:rPr>
              <w:t>Sales</w:t>
            </w:r>
          </w:p>
        </w:tc>
        <w:tc>
          <w:tcPr>
            <w:tcW w:w="3408" w:type="dxa"/>
            <w:vAlign w:val="center"/>
          </w:tcPr>
          <w:p w14:paraId="4D1ECA92">
            <w:pPr>
              <w:spacing w:after="0" w:line="240" w:lineRule="auto"/>
              <w:jc w:val="center"/>
            </w:pPr>
            <w:r>
              <w:rPr>
                <w:rFonts w:ascii="Times New Roman" w:hAnsi="Times New Roman" w:eastAsia="Times New Roman"/>
                <w:b w:val="0"/>
                <w:sz w:val="19"/>
              </w:rPr>
              <w:t>£90m</w:t>
            </w:r>
          </w:p>
        </w:tc>
        <w:tc>
          <w:tcPr>
            <w:tcW w:w="3408" w:type="dxa"/>
            <w:vAlign w:val="center"/>
          </w:tcPr>
          <w:p w14:paraId="15874CB5">
            <w:pPr>
              <w:spacing w:after="0" w:line="240" w:lineRule="auto"/>
              <w:jc w:val="center"/>
            </w:pPr>
            <w:r>
              <w:rPr>
                <w:rFonts w:ascii="Times New Roman" w:hAnsi="Times New Roman" w:eastAsia="Times New Roman"/>
                <w:b w:val="0"/>
                <w:sz w:val="19"/>
              </w:rPr>
              <w:t>£115m</w:t>
            </w:r>
          </w:p>
        </w:tc>
      </w:tr>
      <w:tr w14:paraId="3AE0E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D019489">
            <w:pPr>
              <w:spacing w:after="0" w:line="240" w:lineRule="auto"/>
              <w:jc w:val="center"/>
            </w:pPr>
            <w:r>
              <w:rPr>
                <w:rFonts w:ascii="Times New Roman" w:hAnsi="Times New Roman" w:eastAsia="Times New Roman"/>
                <w:b w:val="0"/>
                <w:sz w:val="19"/>
              </w:rPr>
              <w:t>Cost of goods sold</w:t>
            </w:r>
          </w:p>
        </w:tc>
        <w:tc>
          <w:tcPr>
            <w:tcW w:w="3408" w:type="dxa"/>
            <w:vAlign w:val="center"/>
          </w:tcPr>
          <w:p w14:paraId="566D7647">
            <w:pPr>
              <w:spacing w:after="0" w:line="240" w:lineRule="auto"/>
              <w:jc w:val="center"/>
            </w:pPr>
            <w:r>
              <w:rPr>
                <w:rFonts w:ascii="Times New Roman" w:hAnsi="Times New Roman" w:eastAsia="Times New Roman"/>
                <w:b w:val="0"/>
                <w:sz w:val="19"/>
              </w:rPr>
              <w:t>£58m</w:t>
            </w:r>
          </w:p>
        </w:tc>
        <w:tc>
          <w:tcPr>
            <w:tcW w:w="3408" w:type="dxa"/>
            <w:vAlign w:val="center"/>
          </w:tcPr>
          <w:p w14:paraId="27D99BF4">
            <w:pPr>
              <w:spacing w:after="0" w:line="240" w:lineRule="auto"/>
              <w:jc w:val="center"/>
            </w:pPr>
            <w:r>
              <w:rPr>
                <w:rFonts w:ascii="Times New Roman" w:hAnsi="Times New Roman" w:eastAsia="Times New Roman"/>
                <w:b w:val="0"/>
                <w:sz w:val="19"/>
              </w:rPr>
              <w:t>£78m</w:t>
            </w:r>
          </w:p>
        </w:tc>
      </w:tr>
      <w:tr w14:paraId="21897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D2212FB">
            <w:pPr>
              <w:spacing w:after="0" w:line="240" w:lineRule="auto"/>
              <w:jc w:val="center"/>
            </w:pPr>
            <w:r>
              <w:rPr>
                <w:rFonts w:ascii="Times New Roman" w:hAnsi="Times New Roman" w:eastAsia="Times New Roman"/>
                <w:b w:val="0"/>
                <w:sz w:val="19"/>
              </w:rPr>
              <w:t>Inventories</w:t>
            </w:r>
          </w:p>
        </w:tc>
        <w:tc>
          <w:tcPr>
            <w:tcW w:w="3408" w:type="dxa"/>
            <w:vAlign w:val="center"/>
          </w:tcPr>
          <w:p w14:paraId="0F5DD629">
            <w:pPr>
              <w:spacing w:after="0" w:line="240" w:lineRule="auto"/>
              <w:jc w:val="center"/>
            </w:pPr>
            <w:r>
              <w:rPr>
                <w:rFonts w:ascii="Times New Roman" w:hAnsi="Times New Roman" w:eastAsia="Times New Roman"/>
                <w:b w:val="0"/>
                <w:sz w:val="19"/>
              </w:rPr>
              <w:t>£14m</w:t>
            </w:r>
          </w:p>
        </w:tc>
        <w:tc>
          <w:tcPr>
            <w:tcW w:w="3408" w:type="dxa"/>
            <w:vAlign w:val="center"/>
          </w:tcPr>
          <w:p w14:paraId="69908ED6">
            <w:pPr>
              <w:spacing w:after="0" w:line="240" w:lineRule="auto"/>
              <w:jc w:val="center"/>
            </w:pPr>
            <w:r>
              <w:rPr>
                <w:rFonts w:ascii="Times New Roman" w:hAnsi="Times New Roman" w:eastAsia="Times New Roman"/>
                <w:b w:val="0"/>
                <w:sz w:val="19"/>
              </w:rPr>
              <w:t>£22m</w:t>
            </w:r>
          </w:p>
        </w:tc>
      </w:tr>
      <w:tr w14:paraId="1877F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9FEF93A">
            <w:pPr>
              <w:spacing w:after="0" w:line="240" w:lineRule="auto"/>
              <w:jc w:val="center"/>
            </w:pPr>
            <w:r>
              <w:rPr>
                <w:rFonts w:ascii="Times New Roman" w:hAnsi="Times New Roman" w:eastAsia="Times New Roman"/>
                <w:b w:val="0"/>
                <w:sz w:val="19"/>
              </w:rPr>
              <w:t>Trade receivables</w:t>
            </w:r>
          </w:p>
        </w:tc>
        <w:tc>
          <w:tcPr>
            <w:tcW w:w="3408" w:type="dxa"/>
            <w:vAlign w:val="center"/>
          </w:tcPr>
          <w:p w14:paraId="0B7BB8D8">
            <w:pPr>
              <w:spacing w:after="0" w:line="240" w:lineRule="auto"/>
              <w:jc w:val="center"/>
            </w:pPr>
            <w:r>
              <w:rPr>
                <w:rFonts w:ascii="Times New Roman" w:hAnsi="Times New Roman" w:eastAsia="Times New Roman"/>
                <w:b w:val="0"/>
                <w:sz w:val="19"/>
              </w:rPr>
              <w:t>£18m</w:t>
            </w:r>
          </w:p>
        </w:tc>
        <w:tc>
          <w:tcPr>
            <w:tcW w:w="3408" w:type="dxa"/>
            <w:vAlign w:val="center"/>
          </w:tcPr>
          <w:p w14:paraId="55D66B85">
            <w:pPr>
              <w:spacing w:after="0" w:line="240" w:lineRule="auto"/>
              <w:jc w:val="center"/>
            </w:pPr>
            <w:r>
              <w:rPr>
                <w:rFonts w:ascii="Times New Roman" w:hAnsi="Times New Roman" w:eastAsia="Times New Roman"/>
                <w:b w:val="0"/>
                <w:sz w:val="19"/>
              </w:rPr>
              <w:t>£30m</w:t>
            </w:r>
          </w:p>
        </w:tc>
      </w:tr>
      <w:tr w14:paraId="22C14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76796C3">
            <w:pPr>
              <w:spacing w:after="0" w:line="240" w:lineRule="auto"/>
              <w:jc w:val="center"/>
            </w:pPr>
            <w:r>
              <w:rPr>
                <w:rFonts w:ascii="Times New Roman" w:hAnsi="Times New Roman" w:eastAsia="Times New Roman"/>
                <w:b w:val="0"/>
                <w:sz w:val="19"/>
              </w:rPr>
              <w:t>Trade payables</w:t>
            </w:r>
          </w:p>
        </w:tc>
        <w:tc>
          <w:tcPr>
            <w:tcW w:w="3408" w:type="dxa"/>
            <w:vAlign w:val="center"/>
          </w:tcPr>
          <w:p w14:paraId="2A3F3378">
            <w:pPr>
              <w:spacing w:after="0" w:line="240" w:lineRule="auto"/>
              <w:jc w:val="center"/>
            </w:pPr>
            <w:r>
              <w:rPr>
                <w:rFonts w:ascii="Times New Roman" w:hAnsi="Times New Roman" w:eastAsia="Times New Roman"/>
                <w:b w:val="0"/>
                <w:sz w:val="19"/>
              </w:rPr>
              <w:t>£10m</w:t>
            </w:r>
          </w:p>
        </w:tc>
        <w:tc>
          <w:tcPr>
            <w:tcW w:w="3408" w:type="dxa"/>
            <w:vAlign w:val="center"/>
          </w:tcPr>
          <w:p w14:paraId="20EB4FD3">
            <w:pPr>
              <w:spacing w:after="0" w:line="240" w:lineRule="auto"/>
              <w:jc w:val="center"/>
            </w:pPr>
            <w:r>
              <w:rPr>
                <w:rFonts w:ascii="Times New Roman" w:hAnsi="Times New Roman" w:eastAsia="Times New Roman"/>
                <w:b w:val="0"/>
                <w:sz w:val="19"/>
              </w:rPr>
              <w:t>£20m</w:t>
            </w:r>
          </w:p>
        </w:tc>
      </w:tr>
    </w:tbl>
    <w:p w14:paraId="5AECB957">
      <w:pPr>
        <w:spacing w:after="80"/>
      </w:pPr>
      <w:r>
        <w:rPr>
          <w:rFonts w:ascii="Times New Roman" w:hAnsi="Times New Roman" w:eastAsia="Times New Roman"/>
          <w:b w:val="0"/>
          <w:i w:val="0"/>
        </w:rPr>
        <w:t>The company also imports specialist products from the United States and must pay USD 5m in three months. A bank offers a three-month forward rate of £0.79 per USD. The spot rate in three months is uncertain and could be £0.83 per USD or £0.75 per USD.</w:t>
      </w:r>
    </w:p>
    <w:p w14:paraId="1ABA6B8F">
      <w:pPr>
        <w:spacing w:after="60"/>
      </w:pPr>
      <w:r>
        <w:rPr>
          <w:rFonts w:ascii="Times New Roman" w:hAnsi="Times New Roman" w:eastAsia="Times New Roman"/>
          <w:b/>
          <w:i w:val="0"/>
        </w:rPr>
        <w:t>Required:</w:t>
      </w:r>
    </w:p>
    <w:p w14:paraId="68E8FEA2">
      <w:pPr>
        <w:pStyle w:val="16"/>
      </w:pPr>
      <w:r>
        <w:rPr>
          <w:rFonts w:ascii="Times New Roman" w:hAnsi="Times New Roman" w:eastAsia="Times New Roman"/>
          <w:sz w:val="21"/>
        </w:rPr>
        <w:t>Calculate Days Sales Outstanding, Days Inventory Outstanding, Days Payables Outstanding, the operating cycle and the cash conversion cycle for both 2025 and 2026. Comment on Cedar Retail Plc's working capital position. (10 marks)</w:t>
      </w:r>
    </w:p>
    <w:p w14:paraId="44C75F7A">
      <w:pPr>
        <w:pStyle w:val="16"/>
      </w:pPr>
      <w:r>
        <w:rPr>
          <w:rFonts w:ascii="Times New Roman" w:hAnsi="Times New Roman" w:eastAsia="Times New Roman"/>
          <w:sz w:val="21"/>
        </w:rPr>
        <w:t>Recommend two practical actions Cedar Retail Plc could take to improve working capital management without damaging supplier or customer relationships. (4 marks)</w:t>
      </w:r>
    </w:p>
    <w:p w14:paraId="3211FE7E">
      <w:pPr>
        <w:pStyle w:val="16"/>
      </w:pPr>
      <w:r>
        <w:rPr>
          <w:rFonts w:ascii="Times New Roman" w:hAnsi="Times New Roman" w:eastAsia="Times New Roman"/>
          <w:sz w:val="21"/>
        </w:rPr>
        <w:t>Explain the difference between transaction risk, translation risk and economic risk. (3 marks)</w:t>
      </w:r>
    </w:p>
    <w:p w14:paraId="618E0F36">
      <w:pPr>
        <w:pStyle w:val="16"/>
      </w:pPr>
      <w:r>
        <w:rPr>
          <w:rFonts w:ascii="Times New Roman" w:hAnsi="Times New Roman" w:eastAsia="Times New Roman"/>
          <w:sz w:val="21"/>
        </w:rPr>
        <w:t>Calculate the sterling cost of the USD 5m payment under the forward contract and under the two possible unhedged spot outcomes. Briefly explain how the forward contract manages risk. (3 marks)</w:t>
      </w:r>
    </w:p>
    <w:p w14:paraId="68CAB8B8">
      <w:r>
        <w:br w:type="page"/>
      </w:r>
    </w:p>
    <w:p w14:paraId="7ACD4303">
      <w:pPr>
        <w:spacing w:after="120"/>
        <w:jc w:val="center"/>
      </w:pPr>
      <w:r>
        <w:rPr>
          <w:rFonts w:ascii="Times New Roman" w:hAnsi="Times New Roman" w:eastAsia="Times New Roman"/>
          <w:b/>
          <w:i w:val="0"/>
          <w:sz w:val="24"/>
        </w:rPr>
        <w:t>Formula Sheet / Present Value Factors</w:t>
      </w:r>
    </w:p>
    <w:p w14:paraId="1DBDB880">
      <w:pPr>
        <w:spacing w:after="60"/>
      </w:pPr>
      <w:r>
        <w:rPr>
          <w:rFonts w:ascii="Times New Roman" w:hAnsi="Times New Roman" w:eastAsia="Times New Roman"/>
          <w:b/>
          <w:i w:val="0"/>
        </w:rPr>
        <w:t>Selected formulae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6A4B4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3D518747">
            <w:pPr>
              <w:spacing w:after="0" w:line="240" w:lineRule="auto"/>
              <w:jc w:val="center"/>
            </w:pPr>
            <w:r>
              <w:rPr>
                <w:rFonts w:ascii="Times New Roman" w:hAnsi="Times New Roman" w:eastAsia="Times New Roman"/>
                <w:b/>
                <w:sz w:val="16"/>
              </w:rPr>
              <w:t>Topic</w:t>
            </w:r>
          </w:p>
        </w:tc>
        <w:tc>
          <w:tcPr>
            <w:tcW w:w="5112" w:type="dxa"/>
            <w:shd w:val="clear" w:color="auto" w:fill="D9EAF7"/>
            <w:vAlign w:val="center"/>
          </w:tcPr>
          <w:p w14:paraId="48084B14">
            <w:pPr>
              <w:spacing w:after="0" w:line="240" w:lineRule="auto"/>
              <w:jc w:val="center"/>
            </w:pPr>
            <w:r>
              <w:rPr>
                <w:rFonts w:ascii="Times New Roman" w:hAnsi="Times New Roman" w:eastAsia="Times New Roman"/>
                <w:b/>
                <w:sz w:val="16"/>
              </w:rPr>
              <w:t>Formula</w:t>
            </w:r>
          </w:p>
        </w:tc>
      </w:tr>
      <w:tr w14:paraId="64A5D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8F490CF">
            <w:pPr>
              <w:spacing w:after="0" w:line="240" w:lineRule="auto"/>
              <w:jc w:val="center"/>
            </w:pPr>
            <w:r>
              <w:rPr>
                <w:rFonts w:ascii="Times New Roman" w:hAnsi="Times New Roman" w:eastAsia="Times New Roman"/>
                <w:b w:val="0"/>
                <w:sz w:val="16"/>
              </w:rPr>
              <w:t>NPV</w:t>
            </w:r>
          </w:p>
        </w:tc>
        <w:tc>
          <w:tcPr>
            <w:tcW w:w="5112" w:type="dxa"/>
            <w:vAlign w:val="center"/>
          </w:tcPr>
          <w:p w14:paraId="4FA82C74">
            <w:pPr>
              <w:spacing w:after="0" w:line="240" w:lineRule="auto"/>
              <w:jc w:val="center"/>
            </w:pPr>
            <w:r>
              <w:rPr>
                <w:rFonts w:ascii="Times New Roman" w:hAnsi="Times New Roman" w:eastAsia="Times New Roman"/>
                <w:b w:val="0"/>
                <w:sz w:val="16"/>
              </w:rPr>
              <w:t>NPV = C0 + C1/(1+r) + C2/(1+r)^2 + ... + Cn/(1+r)^n</w:t>
            </w:r>
          </w:p>
        </w:tc>
      </w:tr>
      <w:tr w14:paraId="1D926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900A62C">
            <w:pPr>
              <w:spacing w:after="0" w:line="240" w:lineRule="auto"/>
              <w:jc w:val="center"/>
            </w:pPr>
            <w:r>
              <w:rPr>
                <w:rFonts w:ascii="Times New Roman" w:hAnsi="Times New Roman" w:eastAsia="Times New Roman"/>
                <w:b w:val="0"/>
                <w:sz w:val="16"/>
              </w:rPr>
              <w:t>CAPM</w:t>
            </w:r>
          </w:p>
        </w:tc>
        <w:tc>
          <w:tcPr>
            <w:tcW w:w="5112" w:type="dxa"/>
            <w:vAlign w:val="center"/>
          </w:tcPr>
          <w:p w14:paraId="5746112D">
            <w:pPr>
              <w:spacing w:after="0" w:line="240" w:lineRule="auto"/>
              <w:jc w:val="center"/>
            </w:pPr>
            <w:r>
              <w:rPr>
                <w:rFonts w:ascii="Times New Roman" w:hAnsi="Times New Roman" w:eastAsia="Times New Roman"/>
                <w:b w:val="0"/>
                <w:sz w:val="16"/>
              </w:rPr>
              <w:t>rE = rf + beta x (rm - rf)</w:t>
            </w:r>
          </w:p>
        </w:tc>
      </w:tr>
      <w:tr w14:paraId="4937B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9BDE0DD">
            <w:pPr>
              <w:spacing w:after="0" w:line="240" w:lineRule="auto"/>
              <w:jc w:val="center"/>
            </w:pPr>
            <w:r>
              <w:rPr>
                <w:rFonts w:ascii="Times New Roman" w:hAnsi="Times New Roman" w:eastAsia="Times New Roman"/>
                <w:b w:val="0"/>
                <w:sz w:val="16"/>
              </w:rPr>
              <w:t>WACC</w:t>
            </w:r>
          </w:p>
        </w:tc>
        <w:tc>
          <w:tcPr>
            <w:tcW w:w="5112" w:type="dxa"/>
            <w:vAlign w:val="center"/>
          </w:tcPr>
          <w:p w14:paraId="306CAF88">
            <w:pPr>
              <w:spacing w:after="0" w:line="240" w:lineRule="auto"/>
              <w:jc w:val="center"/>
            </w:pPr>
            <w:r>
              <w:rPr>
                <w:rFonts w:ascii="Times New Roman" w:hAnsi="Times New Roman" w:eastAsia="Times New Roman"/>
                <w:b w:val="0"/>
                <w:sz w:val="16"/>
              </w:rPr>
              <w:t>WACC = (E/V)rE + (D/V)rD(1 - TC)</w:t>
            </w:r>
          </w:p>
        </w:tc>
      </w:tr>
      <w:tr w14:paraId="68320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B66A6E4">
            <w:pPr>
              <w:spacing w:after="0" w:line="240" w:lineRule="auto"/>
              <w:jc w:val="center"/>
            </w:pPr>
            <w:r>
              <w:rPr>
                <w:rFonts w:ascii="Times New Roman" w:hAnsi="Times New Roman" w:eastAsia="Times New Roman"/>
                <w:b w:val="0"/>
                <w:sz w:val="16"/>
              </w:rPr>
              <w:t>Net working capital</w:t>
            </w:r>
          </w:p>
        </w:tc>
        <w:tc>
          <w:tcPr>
            <w:tcW w:w="5112" w:type="dxa"/>
            <w:vAlign w:val="center"/>
          </w:tcPr>
          <w:p w14:paraId="5C09E5FD">
            <w:pPr>
              <w:spacing w:after="0" w:line="240" w:lineRule="auto"/>
              <w:jc w:val="center"/>
            </w:pPr>
            <w:r>
              <w:rPr>
                <w:rFonts w:ascii="Times New Roman" w:hAnsi="Times New Roman" w:eastAsia="Times New Roman"/>
                <w:b w:val="0"/>
                <w:sz w:val="16"/>
              </w:rPr>
              <w:t>NWC = Inventories + Trade receivables - Trade payables</w:t>
            </w:r>
          </w:p>
        </w:tc>
      </w:tr>
      <w:tr w14:paraId="46390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DECF6C5">
            <w:pPr>
              <w:spacing w:after="0" w:line="240" w:lineRule="auto"/>
              <w:jc w:val="center"/>
            </w:pPr>
            <w:r>
              <w:rPr>
                <w:rFonts w:ascii="Times New Roman" w:hAnsi="Times New Roman" w:eastAsia="Times New Roman"/>
                <w:b w:val="0"/>
                <w:sz w:val="16"/>
              </w:rPr>
              <w:t>Working capital cycle</w:t>
            </w:r>
          </w:p>
        </w:tc>
        <w:tc>
          <w:tcPr>
            <w:tcW w:w="5112" w:type="dxa"/>
            <w:vAlign w:val="center"/>
          </w:tcPr>
          <w:p w14:paraId="00672606">
            <w:pPr>
              <w:spacing w:after="0" w:line="240" w:lineRule="auto"/>
              <w:jc w:val="center"/>
            </w:pPr>
            <w:r>
              <w:rPr>
                <w:rFonts w:ascii="Times New Roman" w:hAnsi="Times New Roman" w:eastAsia="Times New Roman"/>
                <w:b w:val="0"/>
                <w:sz w:val="16"/>
              </w:rPr>
              <w:t>DSO = Receivables/Sales x 365; DIO = Inventories/COGS x 365; DPO = Payables/COGS x 365; Cash cycle = DSO + DIO - DPO</w:t>
            </w:r>
          </w:p>
        </w:tc>
      </w:tr>
      <w:tr w14:paraId="5C2FC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9CA2BB8">
            <w:pPr>
              <w:spacing w:after="0" w:line="240" w:lineRule="auto"/>
              <w:jc w:val="center"/>
            </w:pPr>
            <w:r>
              <w:rPr>
                <w:rFonts w:ascii="Times New Roman" w:hAnsi="Times New Roman" w:eastAsia="Times New Roman"/>
                <w:b w:val="0"/>
                <w:sz w:val="16"/>
              </w:rPr>
              <w:t>Dividend smoothing</w:t>
            </w:r>
          </w:p>
        </w:tc>
        <w:tc>
          <w:tcPr>
            <w:tcW w:w="5112" w:type="dxa"/>
            <w:vAlign w:val="center"/>
          </w:tcPr>
          <w:p w14:paraId="0648C03C">
            <w:pPr>
              <w:spacing w:after="0" w:line="240" w:lineRule="auto"/>
              <w:jc w:val="center"/>
            </w:pPr>
            <w:r>
              <w:rPr>
                <w:rFonts w:ascii="Times New Roman" w:hAnsi="Times New Roman" w:eastAsia="Times New Roman"/>
                <w:b w:val="0"/>
                <w:sz w:val="16"/>
              </w:rPr>
              <w:t>D1 = D0 + adjustment factor x (target dividend - D0)</w:t>
            </w:r>
          </w:p>
        </w:tc>
      </w:tr>
      <w:tr w14:paraId="5F07B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2B98DF7">
            <w:pPr>
              <w:spacing w:after="0" w:line="240" w:lineRule="auto"/>
              <w:jc w:val="center"/>
            </w:pPr>
            <w:r>
              <w:rPr>
                <w:rFonts w:ascii="Times New Roman" w:hAnsi="Times New Roman" w:eastAsia="Times New Roman"/>
                <w:b w:val="0"/>
                <w:sz w:val="16"/>
              </w:rPr>
              <w:t>Forward rate</w:t>
            </w:r>
          </w:p>
        </w:tc>
        <w:tc>
          <w:tcPr>
            <w:tcW w:w="5112" w:type="dxa"/>
            <w:vAlign w:val="center"/>
          </w:tcPr>
          <w:p w14:paraId="7EC59F73">
            <w:pPr>
              <w:spacing w:after="0" w:line="240" w:lineRule="auto"/>
              <w:jc w:val="center"/>
            </w:pPr>
            <w:r>
              <w:rPr>
                <w:rFonts w:ascii="Times New Roman" w:hAnsi="Times New Roman" w:eastAsia="Times New Roman"/>
                <w:b w:val="0"/>
                <w:sz w:val="16"/>
              </w:rPr>
              <w:t>f2 = ((1 + s2)^2 / (1 + s1)) - 1</w:t>
            </w:r>
          </w:p>
        </w:tc>
      </w:tr>
      <w:tr w14:paraId="485FE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8D2C517">
            <w:pPr>
              <w:spacing w:after="0" w:line="240" w:lineRule="auto"/>
              <w:jc w:val="center"/>
            </w:pPr>
            <w:r>
              <w:rPr>
                <w:rFonts w:ascii="Times New Roman" w:hAnsi="Times New Roman" w:eastAsia="Times New Roman"/>
                <w:b w:val="0"/>
                <w:sz w:val="16"/>
              </w:rPr>
              <w:t>Merger gain to acquirer</w:t>
            </w:r>
          </w:p>
        </w:tc>
        <w:tc>
          <w:tcPr>
            <w:tcW w:w="5112" w:type="dxa"/>
            <w:vAlign w:val="center"/>
          </w:tcPr>
          <w:p w14:paraId="5F70B485">
            <w:pPr>
              <w:spacing w:after="0" w:line="240" w:lineRule="auto"/>
              <w:jc w:val="center"/>
            </w:pPr>
            <w:r>
              <w:rPr>
                <w:rFonts w:ascii="Times New Roman" w:hAnsi="Times New Roman" w:eastAsia="Times New Roman"/>
                <w:b w:val="0"/>
                <w:sz w:val="16"/>
              </w:rPr>
              <w:t>NPV = Synergies - Premium, where Premium = Cash paid - pre-merger value of target</w:t>
            </w:r>
          </w:p>
        </w:tc>
      </w:tr>
      <w:tr w14:paraId="28B2F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F6E4FD4">
            <w:pPr>
              <w:spacing w:after="0" w:line="240" w:lineRule="auto"/>
              <w:jc w:val="center"/>
            </w:pPr>
            <w:r>
              <w:rPr>
                <w:rFonts w:ascii="Times New Roman" w:hAnsi="Times New Roman" w:eastAsia="Times New Roman"/>
                <w:b w:val="0"/>
                <w:sz w:val="16"/>
              </w:rPr>
              <w:t>Option payoffs</w:t>
            </w:r>
          </w:p>
        </w:tc>
        <w:tc>
          <w:tcPr>
            <w:tcW w:w="5112" w:type="dxa"/>
            <w:vAlign w:val="center"/>
          </w:tcPr>
          <w:p w14:paraId="15092FF2">
            <w:pPr>
              <w:spacing w:after="0" w:line="240" w:lineRule="auto"/>
              <w:jc w:val="center"/>
            </w:pPr>
            <w:r>
              <w:rPr>
                <w:rFonts w:ascii="Times New Roman" w:hAnsi="Times New Roman" w:eastAsia="Times New Roman"/>
                <w:b w:val="0"/>
                <w:sz w:val="16"/>
              </w:rPr>
              <w:t>Long call = max(ST - K, 0); Long put = max(K - ST, 0)</w:t>
            </w:r>
          </w:p>
        </w:tc>
      </w:tr>
    </w:tbl>
    <w:p w14:paraId="31DBF839">
      <w:pPr>
        <w:spacing w:after="60"/>
      </w:pPr>
      <w:r>
        <w:rPr>
          <w:rFonts w:ascii="Times New Roman" w:hAnsi="Times New Roman" w:eastAsia="Times New Roman"/>
          <w:b/>
          <w:i w:val="0"/>
        </w:rPr>
        <w:t>Selected present value factors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4"/>
        <w:gridCol w:w="1704"/>
        <w:gridCol w:w="1704"/>
      </w:tblGrid>
      <w:tr w14:paraId="738EC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shd w:val="clear" w:color="auto" w:fill="D9EAF7"/>
            <w:vAlign w:val="center"/>
          </w:tcPr>
          <w:p w14:paraId="7EBDF637">
            <w:pPr>
              <w:spacing w:after="0" w:line="240" w:lineRule="auto"/>
              <w:jc w:val="center"/>
            </w:pPr>
            <w:r>
              <w:rPr>
                <w:rFonts w:ascii="Times New Roman" w:hAnsi="Times New Roman" w:eastAsia="Times New Roman"/>
                <w:b/>
                <w:sz w:val="17"/>
              </w:rPr>
              <w:t>Rate / Year</w:t>
            </w:r>
          </w:p>
        </w:tc>
        <w:tc>
          <w:tcPr>
            <w:tcW w:w="1704" w:type="dxa"/>
            <w:shd w:val="clear" w:color="auto" w:fill="D9EAF7"/>
            <w:vAlign w:val="center"/>
          </w:tcPr>
          <w:p w14:paraId="5F56450F">
            <w:pPr>
              <w:spacing w:after="0" w:line="240" w:lineRule="auto"/>
              <w:jc w:val="center"/>
            </w:pPr>
            <w:r>
              <w:rPr>
                <w:rFonts w:ascii="Times New Roman" w:hAnsi="Times New Roman" w:eastAsia="Times New Roman"/>
                <w:b/>
                <w:sz w:val="17"/>
              </w:rPr>
              <w:t>1</w:t>
            </w:r>
          </w:p>
        </w:tc>
        <w:tc>
          <w:tcPr>
            <w:tcW w:w="1704" w:type="dxa"/>
            <w:shd w:val="clear" w:color="auto" w:fill="D9EAF7"/>
            <w:vAlign w:val="center"/>
          </w:tcPr>
          <w:p w14:paraId="2CDDBEC5">
            <w:pPr>
              <w:spacing w:after="0" w:line="240" w:lineRule="auto"/>
              <w:jc w:val="center"/>
            </w:pPr>
            <w:r>
              <w:rPr>
                <w:rFonts w:ascii="Times New Roman" w:hAnsi="Times New Roman" w:eastAsia="Times New Roman"/>
                <w:b/>
                <w:sz w:val="17"/>
              </w:rPr>
              <w:t>2</w:t>
            </w:r>
          </w:p>
        </w:tc>
        <w:tc>
          <w:tcPr>
            <w:tcW w:w="1704" w:type="dxa"/>
            <w:shd w:val="clear" w:color="auto" w:fill="D9EAF7"/>
            <w:vAlign w:val="center"/>
          </w:tcPr>
          <w:p w14:paraId="5F406EC2">
            <w:pPr>
              <w:spacing w:after="0" w:line="240" w:lineRule="auto"/>
              <w:jc w:val="center"/>
            </w:pPr>
            <w:r>
              <w:rPr>
                <w:rFonts w:ascii="Times New Roman" w:hAnsi="Times New Roman" w:eastAsia="Times New Roman"/>
                <w:b/>
                <w:sz w:val="17"/>
              </w:rPr>
              <w:t>3</w:t>
            </w:r>
          </w:p>
        </w:tc>
        <w:tc>
          <w:tcPr>
            <w:tcW w:w="1704" w:type="dxa"/>
            <w:shd w:val="clear" w:color="auto" w:fill="D9EAF7"/>
            <w:vAlign w:val="center"/>
          </w:tcPr>
          <w:p w14:paraId="4D57EA47">
            <w:pPr>
              <w:spacing w:after="0" w:line="240" w:lineRule="auto"/>
              <w:jc w:val="center"/>
            </w:pPr>
            <w:r>
              <w:rPr>
                <w:rFonts w:ascii="Times New Roman" w:hAnsi="Times New Roman" w:eastAsia="Times New Roman"/>
                <w:b/>
                <w:sz w:val="17"/>
              </w:rPr>
              <w:t>4</w:t>
            </w:r>
          </w:p>
        </w:tc>
        <w:tc>
          <w:tcPr>
            <w:tcW w:w="1704" w:type="dxa"/>
            <w:shd w:val="clear" w:color="auto" w:fill="D9EAF7"/>
            <w:vAlign w:val="center"/>
          </w:tcPr>
          <w:p w14:paraId="09E31942">
            <w:pPr>
              <w:spacing w:after="0" w:line="240" w:lineRule="auto"/>
              <w:jc w:val="center"/>
            </w:pPr>
            <w:r>
              <w:rPr>
                <w:rFonts w:ascii="Times New Roman" w:hAnsi="Times New Roman" w:eastAsia="Times New Roman"/>
                <w:b/>
                <w:sz w:val="17"/>
              </w:rPr>
              <w:t>5</w:t>
            </w:r>
          </w:p>
        </w:tc>
      </w:tr>
      <w:tr w14:paraId="14FFD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5DE8F321">
            <w:pPr>
              <w:spacing w:after="0" w:line="240" w:lineRule="auto"/>
              <w:jc w:val="center"/>
            </w:pPr>
            <w:r>
              <w:rPr>
                <w:rFonts w:ascii="Times New Roman" w:hAnsi="Times New Roman" w:eastAsia="Times New Roman"/>
                <w:b w:val="0"/>
                <w:sz w:val="17"/>
              </w:rPr>
              <w:t>8%</w:t>
            </w:r>
          </w:p>
        </w:tc>
        <w:tc>
          <w:tcPr>
            <w:tcW w:w="1704" w:type="dxa"/>
            <w:vAlign w:val="center"/>
          </w:tcPr>
          <w:p w14:paraId="7363408E">
            <w:pPr>
              <w:spacing w:after="0" w:line="240" w:lineRule="auto"/>
              <w:jc w:val="center"/>
            </w:pPr>
            <w:r>
              <w:rPr>
                <w:rFonts w:ascii="Times New Roman" w:hAnsi="Times New Roman" w:eastAsia="Times New Roman"/>
                <w:b w:val="0"/>
                <w:sz w:val="17"/>
              </w:rPr>
              <w:t>0.9259</w:t>
            </w:r>
          </w:p>
        </w:tc>
        <w:tc>
          <w:tcPr>
            <w:tcW w:w="1704" w:type="dxa"/>
            <w:vAlign w:val="center"/>
          </w:tcPr>
          <w:p w14:paraId="75D71047">
            <w:pPr>
              <w:spacing w:after="0" w:line="240" w:lineRule="auto"/>
              <w:jc w:val="center"/>
            </w:pPr>
            <w:r>
              <w:rPr>
                <w:rFonts w:ascii="Times New Roman" w:hAnsi="Times New Roman" w:eastAsia="Times New Roman"/>
                <w:b w:val="0"/>
                <w:sz w:val="17"/>
              </w:rPr>
              <w:t>0.8573</w:t>
            </w:r>
          </w:p>
        </w:tc>
        <w:tc>
          <w:tcPr>
            <w:tcW w:w="1704" w:type="dxa"/>
            <w:vAlign w:val="center"/>
          </w:tcPr>
          <w:p w14:paraId="5D4BFF10">
            <w:pPr>
              <w:spacing w:after="0" w:line="240" w:lineRule="auto"/>
              <w:jc w:val="center"/>
            </w:pPr>
            <w:r>
              <w:rPr>
                <w:rFonts w:ascii="Times New Roman" w:hAnsi="Times New Roman" w:eastAsia="Times New Roman"/>
                <w:b w:val="0"/>
                <w:sz w:val="17"/>
              </w:rPr>
              <w:t>0.7938</w:t>
            </w:r>
          </w:p>
        </w:tc>
        <w:tc>
          <w:tcPr>
            <w:tcW w:w="1704" w:type="dxa"/>
            <w:vAlign w:val="center"/>
          </w:tcPr>
          <w:p w14:paraId="4FAD9B5F">
            <w:pPr>
              <w:spacing w:after="0" w:line="240" w:lineRule="auto"/>
              <w:jc w:val="center"/>
            </w:pPr>
            <w:r>
              <w:rPr>
                <w:rFonts w:ascii="Times New Roman" w:hAnsi="Times New Roman" w:eastAsia="Times New Roman"/>
                <w:b w:val="0"/>
                <w:sz w:val="17"/>
              </w:rPr>
              <w:t>0.7350</w:t>
            </w:r>
          </w:p>
        </w:tc>
        <w:tc>
          <w:tcPr>
            <w:tcW w:w="1704" w:type="dxa"/>
            <w:vAlign w:val="center"/>
          </w:tcPr>
          <w:p w14:paraId="49313413">
            <w:pPr>
              <w:spacing w:after="0" w:line="240" w:lineRule="auto"/>
              <w:jc w:val="center"/>
            </w:pPr>
            <w:r>
              <w:rPr>
                <w:rFonts w:ascii="Times New Roman" w:hAnsi="Times New Roman" w:eastAsia="Times New Roman"/>
                <w:b w:val="0"/>
                <w:sz w:val="17"/>
              </w:rPr>
              <w:t>0.6806</w:t>
            </w:r>
          </w:p>
        </w:tc>
      </w:tr>
      <w:tr w14:paraId="2D292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0333638C">
            <w:pPr>
              <w:spacing w:after="0" w:line="240" w:lineRule="auto"/>
              <w:jc w:val="center"/>
            </w:pPr>
            <w:r>
              <w:rPr>
                <w:rFonts w:ascii="Times New Roman" w:hAnsi="Times New Roman" w:eastAsia="Times New Roman"/>
                <w:b w:val="0"/>
                <w:sz w:val="17"/>
              </w:rPr>
              <w:t>10%</w:t>
            </w:r>
          </w:p>
        </w:tc>
        <w:tc>
          <w:tcPr>
            <w:tcW w:w="1704" w:type="dxa"/>
            <w:vAlign w:val="center"/>
          </w:tcPr>
          <w:p w14:paraId="1F25789F">
            <w:pPr>
              <w:spacing w:after="0" w:line="240" w:lineRule="auto"/>
              <w:jc w:val="center"/>
            </w:pPr>
            <w:r>
              <w:rPr>
                <w:rFonts w:ascii="Times New Roman" w:hAnsi="Times New Roman" w:eastAsia="Times New Roman"/>
                <w:b w:val="0"/>
                <w:sz w:val="17"/>
              </w:rPr>
              <w:t>0.9091</w:t>
            </w:r>
          </w:p>
        </w:tc>
        <w:tc>
          <w:tcPr>
            <w:tcW w:w="1704" w:type="dxa"/>
            <w:vAlign w:val="center"/>
          </w:tcPr>
          <w:p w14:paraId="15AEB742">
            <w:pPr>
              <w:spacing w:after="0" w:line="240" w:lineRule="auto"/>
              <w:jc w:val="center"/>
            </w:pPr>
            <w:r>
              <w:rPr>
                <w:rFonts w:ascii="Times New Roman" w:hAnsi="Times New Roman" w:eastAsia="Times New Roman"/>
                <w:b w:val="0"/>
                <w:sz w:val="17"/>
              </w:rPr>
              <w:t>0.8264</w:t>
            </w:r>
          </w:p>
        </w:tc>
        <w:tc>
          <w:tcPr>
            <w:tcW w:w="1704" w:type="dxa"/>
            <w:vAlign w:val="center"/>
          </w:tcPr>
          <w:p w14:paraId="76A8B889">
            <w:pPr>
              <w:spacing w:after="0" w:line="240" w:lineRule="auto"/>
              <w:jc w:val="center"/>
            </w:pPr>
            <w:r>
              <w:rPr>
                <w:rFonts w:ascii="Times New Roman" w:hAnsi="Times New Roman" w:eastAsia="Times New Roman"/>
                <w:b w:val="0"/>
                <w:sz w:val="17"/>
              </w:rPr>
              <w:t>0.7513</w:t>
            </w:r>
          </w:p>
        </w:tc>
        <w:tc>
          <w:tcPr>
            <w:tcW w:w="1704" w:type="dxa"/>
            <w:vAlign w:val="center"/>
          </w:tcPr>
          <w:p w14:paraId="4B70DFAB">
            <w:pPr>
              <w:spacing w:after="0" w:line="240" w:lineRule="auto"/>
              <w:jc w:val="center"/>
            </w:pPr>
            <w:r>
              <w:rPr>
                <w:rFonts w:ascii="Times New Roman" w:hAnsi="Times New Roman" w:eastAsia="Times New Roman"/>
                <w:b w:val="0"/>
                <w:sz w:val="17"/>
              </w:rPr>
              <w:t>0.6830</w:t>
            </w:r>
          </w:p>
        </w:tc>
        <w:tc>
          <w:tcPr>
            <w:tcW w:w="1704" w:type="dxa"/>
            <w:vAlign w:val="center"/>
          </w:tcPr>
          <w:p w14:paraId="446B4FB1">
            <w:pPr>
              <w:spacing w:after="0" w:line="240" w:lineRule="auto"/>
              <w:jc w:val="center"/>
            </w:pPr>
            <w:r>
              <w:rPr>
                <w:rFonts w:ascii="Times New Roman" w:hAnsi="Times New Roman" w:eastAsia="Times New Roman"/>
                <w:b w:val="0"/>
                <w:sz w:val="17"/>
              </w:rPr>
              <w:t>0.6209</w:t>
            </w:r>
          </w:p>
        </w:tc>
      </w:tr>
      <w:tr w14:paraId="51F68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7810F078">
            <w:pPr>
              <w:spacing w:after="0" w:line="240" w:lineRule="auto"/>
              <w:jc w:val="center"/>
            </w:pPr>
            <w:r>
              <w:rPr>
                <w:rFonts w:ascii="Times New Roman" w:hAnsi="Times New Roman" w:eastAsia="Times New Roman"/>
                <w:b w:val="0"/>
                <w:sz w:val="17"/>
              </w:rPr>
              <w:t>11%</w:t>
            </w:r>
          </w:p>
        </w:tc>
        <w:tc>
          <w:tcPr>
            <w:tcW w:w="1704" w:type="dxa"/>
            <w:vAlign w:val="center"/>
          </w:tcPr>
          <w:p w14:paraId="43616554">
            <w:pPr>
              <w:spacing w:after="0" w:line="240" w:lineRule="auto"/>
              <w:jc w:val="center"/>
            </w:pPr>
            <w:r>
              <w:rPr>
                <w:rFonts w:ascii="Times New Roman" w:hAnsi="Times New Roman" w:eastAsia="Times New Roman"/>
                <w:b w:val="0"/>
                <w:sz w:val="17"/>
              </w:rPr>
              <w:t>0.9009</w:t>
            </w:r>
          </w:p>
        </w:tc>
        <w:tc>
          <w:tcPr>
            <w:tcW w:w="1704" w:type="dxa"/>
            <w:vAlign w:val="center"/>
          </w:tcPr>
          <w:p w14:paraId="5655792A">
            <w:pPr>
              <w:spacing w:after="0" w:line="240" w:lineRule="auto"/>
              <w:jc w:val="center"/>
            </w:pPr>
            <w:r>
              <w:rPr>
                <w:rFonts w:ascii="Times New Roman" w:hAnsi="Times New Roman" w:eastAsia="Times New Roman"/>
                <w:b w:val="0"/>
                <w:sz w:val="17"/>
              </w:rPr>
              <w:t>0.8116</w:t>
            </w:r>
          </w:p>
        </w:tc>
        <w:tc>
          <w:tcPr>
            <w:tcW w:w="1704" w:type="dxa"/>
            <w:vAlign w:val="center"/>
          </w:tcPr>
          <w:p w14:paraId="28BE2751">
            <w:pPr>
              <w:spacing w:after="0" w:line="240" w:lineRule="auto"/>
              <w:jc w:val="center"/>
            </w:pPr>
            <w:r>
              <w:rPr>
                <w:rFonts w:ascii="Times New Roman" w:hAnsi="Times New Roman" w:eastAsia="Times New Roman"/>
                <w:b w:val="0"/>
                <w:sz w:val="17"/>
              </w:rPr>
              <w:t>0.7312</w:t>
            </w:r>
          </w:p>
        </w:tc>
        <w:tc>
          <w:tcPr>
            <w:tcW w:w="1704" w:type="dxa"/>
            <w:vAlign w:val="center"/>
          </w:tcPr>
          <w:p w14:paraId="6D096FA9">
            <w:pPr>
              <w:spacing w:after="0" w:line="240" w:lineRule="auto"/>
              <w:jc w:val="center"/>
            </w:pPr>
            <w:r>
              <w:rPr>
                <w:rFonts w:ascii="Times New Roman" w:hAnsi="Times New Roman" w:eastAsia="Times New Roman"/>
                <w:b w:val="0"/>
                <w:sz w:val="17"/>
              </w:rPr>
              <w:t>0.6587</w:t>
            </w:r>
          </w:p>
        </w:tc>
        <w:tc>
          <w:tcPr>
            <w:tcW w:w="1704" w:type="dxa"/>
            <w:vAlign w:val="center"/>
          </w:tcPr>
          <w:p w14:paraId="459AF019">
            <w:pPr>
              <w:spacing w:after="0" w:line="240" w:lineRule="auto"/>
              <w:jc w:val="center"/>
            </w:pPr>
            <w:r>
              <w:rPr>
                <w:rFonts w:ascii="Times New Roman" w:hAnsi="Times New Roman" w:eastAsia="Times New Roman"/>
                <w:b w:val="0"/>
                <w:sz w:val="17"/>
              </w:rPr>
              <w:t>0.5935</w:t>
            </w:r>
          </w:p>
        </w:tc>
      </w:tr>
      <w:tr w14:paraId="6E56F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251F4E21">
            <w:pPr>
              <w:spacing w:after="0" w:line="240" w:lineRule="auto"/>
              <w:jc w:val="center"/>
            </w:pPr>
            <w:r>
              <w:rPr>
                <w:rFonts w:ascii="Times New Roman" w:hAnsi="Times New Roman" w:eastAsia="Times New Roman"/>
                <w:b w:val="0"/>
                <w:sz w:val="17"/>
              </w:rPr>
              <w:t>12%</w:t>
            </w:r>
          </w:p>
        </w:tc>
        <w:tc>
          <w:tcPr>
            <w:tcW w:w="1704" w:type="dxa"/>
            <w:vAlign w:val="center"/>
          </w:tcPr>
          <w:p w14:paraId="689C4C5A">
            <w:pPr>
              <w:spacing w:after="0" w:line="240" w:lineRule="auto"/>
              <w:jc w:val="center"/>
            </w:pPr>
            <w:r>
              <w:rPr>
                <w:rFonts w:ascii="Times New Roman" w:hAnsi="Times New Roman" w:eastAsia="Times New Roman"/>
                <w:b w:val="0"/>
                <w:sz w:val="17"/>
              </w:rPr>
              <w:t>0.8929</w:t>
            </w:r>
          </w:p>
        </w:tc>
        <w:tc>
          <w:tcPr>
            <w:tcW w:w="1704" w:type="dxa"/>
            <w:vAlign w:val="center"/>
          </w:tcPr>
          <w:p w14:paraId="4F8138AE">
            <w:pPr>
              <w:spacing w:after="0" w:line="240" w:lineRule="auto"/>
              <w:jc w:val="center"/>
            </w:pPr>
            <w:r>
              <w:rPr>
                <w:rFonts w:ascii="Times New Roman" w:hAnsi="Times New Roman" w:eastAsia="Times New Roman"/>
                <w:b w:val="0"/>
                <w:sz w:val="17"/>
              </w:rPr>
              <w:t>0.7972</w:t>
            </w:r>
          </w:p>
        </w:tc>
        <w:tc>
          <w:tcPr>
            <w:tcW w:w="1704" w:type="dxa"/>
            <w:vAlign w:val="center"/>
          </w:tcPr>
          <w:p w14:paraId="6436F39C">
            <w:pPr>
              <w:spacing w:after="0" w:line="240" w:lineRule="auto"/>
              <w:jc w:val="center"/>
            </w:pPr>
            <w:r>
              <w:rPr>
                <w:rFonts w:ascii="Times New Roman" w:hAnsi="Times New Roman" w:eastAsia="Times New Roman"/>
                <w:b w:val="0"/>
                <w:sz w:val="17"/>
              </w:rPr>
              <w:t>0.7118</w:t>
            </w:r>
          </w:p>
        </w:tc>
        <w:tc>
          <w:tcPr>
            <w:tcW w:w="1704" w:type="dxa"/>
            <w:vAlign w:val="center"/>
          </w:tcPr>
          <w:p w14:paraId="3DA0BD3D">
            <w:pPr>
              <w:spacing w:after="0" w:line="240" w:lineRule="auto"/>
              <w:jc w:val="center"/>
            </w:pPr>
            <w:r>
              <w:rPr>
                <w:rFonts w:ascii="Times New Roman" w:hAnsi="Times New Roman" w:eastAsia="Times New Roman"/>
                <w:b w:val="0"/>
                <w:sz w:val="17"/>
              </w:rPr>
              <w:t>0.6355</w:t>
            </w:r>
          </w:p>
        </w:tc>
        <w:tc>
          <w:tcPr>
            <w:tcW w:w="1704" w:type="dxa"/>
            <w:vAlign w:val="center"/>
          </w:tcPr>
          <w:p w14:paraId="3B2A56FD">
            <w:pPr>
              <w:spacing w:after="0" w:line="240" w:lineRule="auto"/>
              <w:jc w:val="center"/>
            </w:pPr>
            <w:r>
              <w:rPr>
                <w:rFonts w:ascii="Times New Roman" w:hAnsi="Times New Roman" w:eastAsia="Times New Roman"/>
                <w:b w:val="0"/>
                <w:sz w:val="17"/>
              </w:rPr>
              <w:t>0.5674</w:t>
            </w:r>
          </w:p>
        </w:tc>
      </w:tr>
    </w:tbl>
    <w:p w14:paraId="7ABC0017"/>
    <w:sectPr>
      <w:headerReference r:id="rId5" w:type="default"/>
      <w:footerReference r:id="rId6" w:type="default"/>
      <w:pgSz w:w="12240" w:h="15840"/>
      <w:pgMar w:top="936" w:right="1008" w:bottom="936" w:left="1008"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CFEF0">
    <w:pPr>
      <w:pStyle w:val="2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A6770">
    <w:pPr>
      <w:pStyle w:val="25"/>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31752AE"/>
    <w:rsid w:val="6D663AA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6"/>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691</Words>
  <Characters>3405</Characters>
  <Lines>0</Lines>
  <Paragraphs>0</Paragraphs>
  <TotalTime>7</TotalTime>
  <ScaleCrop>false</ScaleCrop>
  <LinksUpToDate>false</LinksUpToDate>
  <CharactersWithSpaces>4000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sl</cp:lastModifiedBy>
  <dcterms:modified xsi:type="dcterms:W3CDTF">2026-05-09T08:49:50Z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eyJoZGlkIjoiMjA0YTY4ZGFmM2NlODQ2YjkxYWUzYzNlMzJjMjI4YmIiLCJ1c2VySWQiOiI3MDU2MTk4MDAifQ==</vt:lpwstr>
  </property>
  <property fmtid="{D5CDD505-2E9C-101B-9397-08002B2CF9AE}" pid="3" name="KSOProductBuildVer">
    <vt:lpwstr>2052-12.1.0.25865</vt:lpwstr>
  </property>
  <property fmtid="{D5CDD505-2E9C-101B-9397-08002B2CF9AE}" pid="4" name="ICV">
    <vt:lpwstr>A3D0B6A7B69E42BDB53C4F1DB9343EDD_13</vt:lpwstr>
  </property>
</Properties>
</file>