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政企客户欠费与到期管理工具</w:t>
        <w:br/>
        <w:t>最终需求设计说明书</w:t>
      </w:r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555555"/>
          <w:sz w:val="20"/>
        </w:rPr>
        <w:t>版本：2.0（客户确认版 R2）</w:t>
      </w:r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555555"/>
          <w:sz w:val="20"/>
        </w:rPr>
        <w:t>日期：2026-10-09</w:t>
      </w:r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color w:val="555555"/>
          <w:sz w:val="20"/>
        </w:rPr>
        <w:t>文档状态：待客户确认签字</w:t>
      </w:r>
    </w:p>
    <w:p/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28"/>
        </w:rPr>
        <w:t>1. 文档目的和确认范围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0"/>
        </w:rPr>
        <w:t>本文件用于确认“政企客户欠费与到期管理工具”第一阶段的业务目标、功能范围、用户权限、数据要求、交互要求、安全要求、交付内容和验收标准。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0"/>
        </w:rPr>
        <w:t>客户确认本文件后，本文件将作为后续原型细化、技术设计、开发、测试和验收的主要依据。未在本文件中明确确认的新增需求，应按变更流程评估，不自动纳入本阶段交付。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0"/>
        </w:rPr>
        <w:t>HTML Demo 用于展示页面结构和核心交互流程。Demo 中的客户名称、金额、日期、预警阈值、任务数量和处理状态均为示例数据，不作为正式业务数据或正式规则。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28"/>
        </w:rPr>
        <w:t>2. 业务背景和建设目标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2.1 现状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0"/>
        </w:rPr>
        <w:t>客户经理需要同时关注客户余额、欠费、专线到期和续签事项。当前信息主要来自短信、线下表格、其他台席下发的欠费明细表和现有业务系统。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0"/>
        </w:rPr>
        <w:t>部分短信提醒经核查存在不准确情况，且客户经理同时接收大量产品、集团等其他信息，重要提醒容易被遗漏。当前管理主要依靠月度专线到期表、欠费明细表和客户经理自行整理台账，存在信息分散、重复核对、任务遗漏和停机后缴费等问题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2.2 建设目标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0"/>
        </w:rPr>
        <w:t>建设公司内部使用的欠费与到期管理工具，整合可获取的系统数据和线下数据，形成统一客户台账，并建立“数据进入、风险识别、任务生成、客户跟进、督办提醒、结果闭环”的管理流程。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集中展示客户余额、欠费、专线到期和处理状态。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降低人工整理、比对和重复下发明细的工作量。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通过规则化预警和任务提醒降低欠费遗漏风险。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在客户停机前尽早发现风险并推动客户经理跟进。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为后台人员提供风险、任务、逾期和异常数据的统一视图。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28"/>
        </w:rPr>
        <w:t>3. 第一阶段建设范围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3.1 纳入范围</w:t>
      </w:r>
    </w:p>
    <w:p>
      <w:pPr>
        <w:pStyle w:val="ListNumber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欠费明细和专线到期明细的导入或数据接入。</w:t>
      </w:r>
    </w:p>
    <w:p>
      <w:pPr>
        <w:pStyle w:val="ListNumber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客户、业务、欠费、余额、到期和客户归属的统一台账。</w:t>
      </w:r>
    </w:p>
    <w:p>
      <w:pPr>
        <w:pStyle w:val="ListNumber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客户经理、后台人员、督办人员和系统管理员的权限控制。</w:t>
      </w:r>
    </w:p>
    <w:p>
      <w:pPr>
        <w:pStyle w:val="ListNumber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余额不足、欠费、停机风险和专线到期预警。</w:t>
      </w:r>
    </w:p>
    <w:p>
      <w:pPr>
        <w:pStyle w:val="ListNumber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待办任务生成、分派、转派、提醒、催办、处理和关闭。</w:t>
      </w:r>
    </w:p>
    <w:p>
      <w:pPr>
        <w:pStyle w:val="ListNumber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客户经理跟进记录、缴费结果、续签结果和备注登记。</w:t>
      </w:r>
    </w:p>
    <w:p>
      <w:pPr>
        <w:pStyle w:val="ListNumber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后台风险监控、任务查询、统计和明细导出。</w:t>
      </w:r>
    </w:p>
    <w:p>
      <w:pPr>
        <w:pStyle w:val="ListNumber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数据异常标记、来源对比、核查结论和处理记录。</w:t>
      </w:r>
    </w:p>
    <w:p>
      <w:pPr>
        <w:pStyle w:val="ListNumber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操作日志、运行异常日志和基础运行监控。</w:t>
      </w:r>
    </w:p>
    <w:p>
      <w:pPr>
        <w:pStyle w:val="ListNumber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在公司批准的内部平台中提供受权限控制的查询或智能辅助能力。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3.2 暂不纳入范围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替代现有计费、账务、客户关系管理或工单系统。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自动修改账务、自动扣款或自动执行停复机。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仅凭短信内容自动认定欠费并直接触发业务动作。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面向外部客户的公开查询或自助缴费门户。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未经安全和平台评审确认的外部平台接入或公网部署。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复杂预测模型、自动外呼和自动催收话术生成。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28"/>
        </w:rPr>
        <w:t>4. 用户角色和权限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用户角色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主要职责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默认数据范围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主要操作</w:t>
            </w:r>
          </w:p>
        </w:tc>
      </w:tr>
      <w:t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客户经理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跟进客户缴费、续签和风险事项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本人负责或授权客户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查看、跟进、备注、提交结果、申请暂缓</w:t>
            </w:r>
          </w:p>
        </w:tc>
      </w:tr>
      <w:t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政企后台人员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数据维护、风险核查、任务管理和整体督办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授权范围内的整体数据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导入、核查、分派、转派、催办、复核、导出</w:t>
            </w:r>
          </w:p>
        </w:tc>
      </w:tr>
      <w:t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台席或数据提供人员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提供并跟踪欠费、余额、到期数据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授权数据批次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提供数据、查看接收状态、处理导入异常</w:t>
            </w:r>
          </w:p>
        </w:tc>
      </w:tr>
      <w:t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直属负责人或督办人员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查看团队任务和逾期事项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所属团队数据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查看、催办、升级、检查处理结果</w:t>
            </w:r>
          </w:p>
        </w:tc>
      </w:tr>
      <w:t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系统管理员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账号、权限、规则、日志和运行配置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按公司授权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用户管理、权限配置、规则配置、日志查看</w:t>
            </w:r>
          </w:p>
        </w:tc>
      </w:tr>
    </w:tbl>
    <w:p>
      <w:pPr>
        <w:spacing w:after="20"/>
      </w:pP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0"/>
        </w:rPr>
        <w:t>权限原则：数据权限和功能权限分别控制；客户经理默认不能查看跨团队客户；导入、导出、批量修改、规则修改和关闭任务等操作必须进行权限校验；所有关键操作必须记录操作人、时间、对象和结果。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28"/>
        </w:rPr>
        <w:t>5. 业务流程设计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5.1 主流程</w:t>
      </w:r>
    </w:p>
    <w:p>
      <w:pPr>
        <w:pStyle w:val="ListNumber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后台人员通过接口或模板导入欠费、余额、专线到期和客户归属数据。</w:t>
      </w:r>
    </w:p>
    <w:p>
      <w:pPr>
        <w:pStyle w:val="ListNumber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系统执行字段、金额、日期、重复数据和关联关系预检。</w:t>
      </w:r>
    </w:p>
    <w:p>
      <w:pPr>
        <w:pStyle w:val="ListNumber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系统保存数据来源、批次、更新时间和异常信息。</w:t>
      </w:r>
    </w:p>
    <w:p>
      <w:pPr>
        <w:pStyle w:val="ListNumber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系统依据已确认的预警规则识别风险客户。</w:t>
      </w:r>
    </w:p>
    <w:p>
      <w:pPr>
        <w:pStyle w:val="ListNumber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系统生成任务并按客户归属分派给客户经理，或进入后台待分派队列。</w:t>
      </w:r>
    </w:p>
    <w:p>
      <w:pPr>
        <w:pStyle w:val="ListNumber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客户经理查看任务，联系客户并登记缴费、续签、核实或其他处理结果。</w:t>
      </w:r>
    </w:p>
    <w:p>
      <w:pPr>
        <w:pStyle w:val="ListNumber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对临近时限或已逾期任务发送提醒、催办或升级通知。</w:t>
      </w:r>
    </w:p>
    <w:p>
      <w:pPr>
        <w:pStyle w:val="ListNumber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任务完成后关闭或提交后台复核，系统保留全过程记录。</w:t>
      </w:r>
    </w:p>
    <w:p>
      <w:pPr>
        <w:pStyle w:val="ListNumber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后台人员查看风险、任务、逾期和异常数据，并导出授权范围内的结果。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5.2 任务状态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0"/>
        </w:rPr>
        <w:t>建议状态为：待处理、处理中、待核实、已完成、已关闭、已暂缓、已逾期。正式状态名称、状态转换条件和关闭条件以客户确认的业务规则为准。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5.3 数据异常处理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0"/>
        </w:rPr>
        <w:t>当系统数据、短信信息和线下明细不一致时，不直接静默覆盖。系统应保留各来源、批次和更新时间，后台人员标记异常原因、核查结论和后续责任人。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28"/>
        </w:rPr>
        <w:t>6. 功能需求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6.1 风险工作台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目标：</w:t>
      </w:r>
      <w:r>
        <w:rPr>
          <w:rFonts w:ascii="Microsoft YaHei" w:hAnsi="Microsoft YaHei" w:eastAsia="Microsoft YaHei"/>
          <w:b w:val="0"/>
          <w:color w:val="000000"/>
          <w:sz w:val="20"/>
        </w:rPr>
        <w:t>让客户经理和后台人员优先看到需要处理的客户和任务。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功能要求：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展示高风险客户、待处理任务、欠费金额和专线到期等指标。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支持按全部、已逾期、专线到期、待核实等维度切换。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支持按客户名称、客户编号、责任人、风险等级和处理状态筛选。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展示客户、业务、风险、欠费金额、余额、到期时间、责任人和处理状态。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支持进入客户详情、创建跟进任务和标记待核实。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6.2 客户统一台账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目标：</w:t>
      </w:r>
      <w:r>
        <w:rPr>
          <w:rFonts w:ascii="Microsoft YaHei" w:hAnsi="Microsoft YaHei" w:eastAsia="Microsoft YaHei"/>
          <w:b w:val="0"/>
          <w:color w:val="000000"/>
          <w:sz w:val="20"/>
        </w:rPr>
        <w:t>统一查看客户、业务、欠费、余额、到期、续签和归属信息。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功能要求：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支持多条件查询。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展示数据来源、更新时间、批次和异常标识。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支持查看客户历史预警、任务和跟进记录。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按权限控制查询和导出范围。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6.3 数据接入和导入预检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目标：</w:t>
      </w:r>
      <w:r>
        <w:rPr>
          <w:rFonts w:ascii="Microsoft YaHei" w:hAnsi="Microsoft YaHei" w:eastAsia="Microsoft YaHei"/>
          <w:b w:val="0"/>
          <w:color w:val="000000"/>
          <w:sz w:val="20"/>
        </w:rPr>
        <w:t>将欠费、到期和客户归属数据可靠地导入或接入。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功能要求：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支持标准模板和接口接入。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校验必填项、金额、日期、重复数据、客户匹配和业务关联。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展示成功、失败、重复和待核实数量。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支持错误明细下载并保存批次信息。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6.4 风险预警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目标：</w:t>
      </w:r>
      <w:r>
        <w:rPr>
          <w:rFonts w:ascii="Microsoft YaHei" w:hAnsi="Microsoft YaHei" w:eastAsia="Microsoft YaHei"/>
          <w:b w:val="0"/>
          <w:color w:val="000000"/>
          <w:sz w:val="20"/>
        </w:rPr>
        <w:t>依据确认后的规则生成可解释的风险预警。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功能要求：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支持余额、欠费、停机风险和专线到期预警。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展示触发规则、字段、时间、风险等级和责任人。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支持确认、误报、暂缓、解除和重新触发。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不得仅凭短信直接执行停机或账务动作。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6.5 任务中心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目标：</w:t>
      </w:r>
      <w:r>
        <w:rPr>
          <w:rFonts w:ascii="Microsoft YaHei" w:hAnsi="Microsoft YaHei" w:eastAsia="Microsoft YaHei"/>
          <w:b w:val="0"/>
          <w:color w:val="000000"/>
          <w:sz w:val="20"/>
        </w:rPr>
        <w:t>将预警和到期事项转化为可执行、可追踪的任务。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功能要求：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支持自动分派、后台分派、转派和重新指派。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支持任务状态流转。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支持联系情况、缴费结果、续签结果、备注和附件。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支持关闭前复核。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6.6 提醒、催办和督办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目标：</w:t>
      </w:r>
      <w:r>
        <w:rPr>
          <w:rFonts w:ascii="Microsoft YaHei" w:hAnsi="Microsoft YaHei" w:eastAsia="Microsoft YaHei"/>
          <w:b w:val="0"/>
          <w:color w:val="000000"/>
          <w:sz w:val="20"/>
        </w:rPr>
        <w:t>减少任务遗漏并推动逾期事项处理。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功能要求：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支持创建、临近截止和逾期提醒。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支持团队逾期查看、催办和升级。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消息失败可查询并人工补处理。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6.7 后台监控和统计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目标：</w:t>
      </w:r>
      <w:r>
        <w:rPr>
          <w:rFonts w:ascii="Microsoft YaHei" w:hAnsi="Microsoft YaHei" w:eastAsia="Microsoft YaHei"/>
          <w:b w:val="0"/>
          <w:color w:val="000000"/>
          <w:sz w:val="20"/>
        </w:rPr>
        <w:t>为后台提供整体风险和处理情况视图。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功能要求：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展示风险客户、欠费金额、待办、逾期、已完成和异常指标。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支持筛选、明细、汇总和导出。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统计结果可与明细数据核对。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6.8 数据异常核查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目标：</w:t>
      </w:r>
      <w:r>
        <w:rPr>
          <w:rFonts w:ascii="Microsoft YaHei" w:hAnsi="Microsoft YaHei" w:eastAsia="Microsoft YaHei"/>
          <w:b w:val="0"/>
          <w:color w:val="000000"/>
          <w:sz w:val="20"/>
        </w:rPr>
        <w:t>处理多来源数据差异并保证可追溯。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功能要求：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识别缺失、重复、冲突、过期和无法匹配数据。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支持来源对比、异常原因、核查结论和处理历史。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6.9 查询和智能辅助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目标：</w:t>
      </w:r>
      <w:r>
        <w:rPr>
          <w:rFonts w:ascii="Microsoft YaHei" w:hAnsi="Microsoft YaHei" w:eastAsia="Microsoft YaHei"/>
          <w:b w:val="0"/>
          <w:color w:val="000000"/>
          <w:sz w:val="20"/>
        </w:rPr>
        <w:t>在批准的内部平台中提供受权限控制的查询和辅助回答。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0"/>
        </w:rPr>
        <w:t>功能要求：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回答标明更新时间或批次。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数据冲突时提示差异和来源。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无法确认时不得编造。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不得越权展示敏感数据，AI不替代业务最终判断。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28"/>
        </w:rPr>
        <w:t>7. Demo 对应关系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551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Demo页面</w:t>
            </w:r>
          </w:p>
        </w:tc>
        <w:tc>
          <w:tcPr>
            <w:tcW w:type="dxa" w:w="7370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对应需求</w:t>
            </w:r>
          </w:p>
        </w:tc>
      </w:tr>
      <w:tr>
        <w:tc>
          <w:tcPr>
            <w:tcW w:type="dxa" w:w="25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风险工作台</w:t>
            </w:r>
          </w:p>
        </w:tc>
        <w:tc>
          <w:tcPr>
            <w:tcW w:type="dxa" w:w="737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风险指标、客户筛选、重点客户、风险详情</w:t>
            </w:r>
          </w:p>
        </w:tc>
      </w:tr>
      <w:tr>
        <w:tc>
          <w:tcPr>
            <w:tcW w:type="dxa" w:w="25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任务中心</w:t>
            </w:r>
          </w:p>
        </w:tc>
        <w:tc>
          <w:tcPr>
            <w:tcW w:type="dxa" w:w="737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任务列表、处理任务、完成任务</w:t>
            </w:r>
          </w:p>
        </w:tc>
      </w:tr>
      <w:tr>
        <w:tc>
          <w:tcPr>
            <w:tcW w:type="dxa" w:w="25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客户台账</w:t>
            </w:r>
          </w:p>
        </w:tc>
        <w:tc>
          <w:tcPr>
            <w:tcW w:type="dxa" w:w="737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客户与业务统一台账</w:t>
            </w:r>
          </w:p>
        </w:tc>
      </w:tr>
      <w:tr>
        <w:tc>
          <w:tcPr>
            <w:tcW w:type="dxa" w:w="25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数据接入</w:t>
            </w:r>
          </w:p>
        </w:tc>
        <w:tc>
          <w:tcPr>
            <w:tcW w:type="dxa" w:w="737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导入批次和数据状态展示</w:t>
            </w:r>
          </w:p>
        </w:tc>
      </w:tr>
      <w:tr>
        <w:tc>
          <w:tcPr>
            <w:tcW w:type="dxa" w:w="25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规则与权限</w:t>
            </w:r>
          </w:p>
        </w:tc>
        <w:tc>
          <w:tcPr>
            <w:tcW w:type="dxa" w:w="737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预警规则示例、角色权限示例</w:t>
            </w:r>
          </w:p>
        </w:tc>
      </w:tr>
      <w:tr>
        <w:tc>
          <w:tcPr>
            <w:tcW w:type="dxa" w:w="255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客户详情弹窗</w:t>
            </w:r>
          </w:p>
        </w:tc>
        <w:tc>
          <w:tcPr>
            <w:tcW w:type="dxa" w:w="737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风险依据、数据来源、建议动作和任务创建</w:t>
            </w:r>
          </w:p>
        </w:tc>
      </w:tr>
    </w:tbl>
    <w:p>
      <w:pPr>
        <w:spacing w:after="20"/>
      </w:pP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0"/>
        </w:rPr>
        <w:t>Demo 仅用于确认页面结构、信息层级和交互方向，不代表最终视觉稿、正式数据和正式接口。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28"/>
        </w:rPr>
        <w:t>8. 数据、部署和安全要求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8.1 数据要求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欠费、余额、停机状态和专线到期数据应明确正式来源。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线下导入数据必须保留来源、批次、导入人和导入时间。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客户和业务应具备可用于关联的唯一标识。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数据缺失、冲突、重复和过期情况不得被静默忽略。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8.2 部署要求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原则上部署在公司内部网络、公司批准的AI平台或公司内部业务平台。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开发、测试和生产环境隔离。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测试环境使用脱敏数据或模拟数据。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优先复用公司统一认证、权限、消息、日志、文件存储和数据接口能力。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8.3 安全和审计要求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敏感数据按公司制度管理并采用认可的传输和存储安全机制。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导出文件受权限控制，并记录导出人、时间、条件和范围。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记录登录、查询、导入、导出、规则修改、任务分派、催办、关闭和权限变更。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日志不得无必要记录完整敏感信息。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生产数据是否进入AI上下文、是否留存及留存周期，须经安全评审确认。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28"/>
        </w:rPr>
        <w:t>9. 交付物和验收标准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9.1 交付物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最终需求设计说明书。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业务流程和任务状态说明。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用户角色和权限矩阵。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数据源、字段和数据映射清单。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预警规则和任务规则清单。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页面原型或页面实现。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接口说明、数据字典和配置说明。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测试计划、测试用例和测试记录。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部署手册、用户操作手册和管理员手册。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试点验收报告和遗留问题清单。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000000"/>
          <w:sz w:val="23"/>
        </w:rPr>
        <w:t>9.2 第一阶段验收标准</w:t>
      </w:r>
    </w:p>
    <w:p>
      <w:pPr>
        <w:pStyle w:val="ListNumber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能够按确认的数据源导入或获取欠费、余额和专线到期数据。</w:t>
      </w:r>
    </w:p>
    <w:p>
      <w:pPr>
        <w:pStyle w:val="ListNumber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数据保留来源、批次、更新时间和导入结果。</w:t>
      </w:r>
    </w:p>
    <w:p>
      <w:pPr>
        <w:pStyle w:val="ListNumber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能够根据客户归属生成客户经理任务。</w:t>
      </w:r>
    </w:p>
    <w:p>
      <w:pPr>
        <w:pStyle w:val="ListNumber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能够按确认规则生成预警，并展示触发依据。</w:t>
      </w:r>
    </w:p>
    <w:p>
      <w:pPr>
        <w:pStyle w:val="ListNumber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客户经理能够查看、跟进、备注、提交结果和关闭任务。</w:t>
      </w:r>
    </w:p>
    <w:p>
      <w:pPr>
        <w:pStyle w:val="ListNumber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后台能够查看授权范围的风险、任务、逾期和异常数据。</w:t>
      </w:r>
    </w:p>
    <w:p>
      <w:pPr>
        <w:pStyle w:val="ListNumber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支持提醒、催办和逾期识别。</w:t>
      </w:r>
    </w:p>
    <w:p>
      <w:pPr>
        <w:pStyle w:val="ListNumber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关键操作可追溯。</w:t>
      </w:r>
    </w:p>
    <w:p>
      <w:pPr>
        <w:pStyle w:val="ListNumber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权限、敏感数据保护、部署和安全要求通过审核。</w:t>
      </w:r>
    </w:p>
    <w:p>
      <w:pPr>
        <w:pStyle w:val="ListNumber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试点用户能够完成至少一轮真实业务处理。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28"/>
        </w:rPr>
        <w:t>10. 本次确认后仍需补充的业务参数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参数类别</w:t>
            </w:r>
          </w:p>
        </w:tc>
        <w:tc>
          <w:tcPr>
            <w:tcW w:type="dxa" w:w="5669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待确认内容</w:t>
            </w:r>
          </w:p>
        </w:tc>
        <w:tc>
          <w:tcPr>
            <w:tcW w:type="dxa" w:w="2438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确认责任方</w:t>
            </w:r>
          </w:p>
        </w:tc>
      </w:tr>
      <w:t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数据来源</w:t>
            </w:r>
          </w:p>
        </w:tc>
        <w:tc>
          <w:tcPr>
            <w:tcW w:type="dxa" w:w="56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欠费、余额、停机、到期和客户归属正式来源</w:t>
            </w:r>
          </w:p>
        </w:tc>
        <w:tc>
          <w:tcPr>
            <w:tcW w:type="dxa" w:w="243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业务负责人、数据负责人</w:t>
            </w:r>
          </w:p>
        </w:tc>
      </w:tr>
      <w:t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数据接入</w:t>
            </w:r>
          </w:p>
        </w:tc>
        <w:tc>
          <w:tcPr>
            <w:tcW w:type="dxa" w:w="56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接口、Excel、人工上传或组合方式</w:t>
            </w:r>
          </w:p>
        </w:tc>
        <w:tc>
          <w:tcPr>
            <w:tcW w:type="dxa" w:w="243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平台负责人、数据负责人</w:t>
            </w:r>
          </w:p>
        </w:tc>
      </w:tr>
      <w:t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预警阈值</w:t>
            </w:r>
          </w:p>
        </w:tc>
        <w:tc>
          <w:tcPr>
            <w:tcW w:type="dxa" w:w="56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余额、欠费金额、欠费天数、到期提前天数</w:t>
            </w:r>
          </w:p>
        </w:tc>
        <w:tc>
          <w:tcPr>
            <w:tcW w:type="dxa" w:w="243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业务负责人</w:t>
            </w:r>
          </w:p>
        </w:tc>
      </w:tr>
      <w:t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任务规则</w:t>
            </w:r>
          </w:p>
        </w:tc>
        <w:tc>
          <w:tcPr>
            <w:tcW w:type="dxa" w:w="56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分派、时限、逾期升级、复核和关闭条件</w:t>
            </w:r>
          </w:p>
        </w:tc>
        <w:tc>
          <w:tcPr>
            <w:tcW w:type="dxa" w:w="243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业务负责人</w:t>
            </w:r>
          </w:p>
        </w:tc>
      </w:tr>
      <w:t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提醒渠道</w:t>
            </w:r>
          </w:p>
        </w:tc>
        <w:tc>
          <w:tcPr>
            <w:tcW w:type="dxa" w:w="56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内部平台、企业微信、邮件或其他渠道</w:t>
            </w:r>
          </w:p>
        </w:tc>
        <w:tc>
          <w:tcPr>
            <w:tcW w:type="dxa" w:w="243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平台负责人</w:t>
            </w:r>
          </w:p>
        </w:tc>
      </w:tr>
      <w:t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权限范围</w:t>
            </w:r>
          </w:p>
        </w:tc>
        <w:tc>
          <w:tcPr>
            <w:tcW w:type="dxa" w:w="56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角色名称、数据范围、导出和脱敏要求</w:t>
            </w:r>
          </w:p>
        </w:tc>
        <w:tc>
          <w:tcPr>
            <w:tcW w:type="dxa" w:w="243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业务负责人、平台负责人</w:t>
            </w:r>
          </w:p>
        </w:tc>
      </w:tr>
      <w:t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安全策略</w:t>
            </w:r>
          </w:p>
        </w:tc>
        <w:tc>
          <w:tcPr>
            <w:tcW w:type="dxa" w:w="56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数据留存、备份、审计和AI上下文策略</w:t>
            </w:r>
          </w:p>
        </w:tc>
        <w:tc>
          <w:tcPr>
            <w:tcW w:type="dxa" w:w="243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安全负责人</w:t>
            </w:r>
          </w:p>
        </w:tc>
      </w:tr>
      <w:tr>
        <w:tc>
          <w:tcPr>
            <w:tcW w:type="dxa" w:w="181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试点范围</w:t>
            </w:r>
          </w:p>
        </w:tc>
        <w:tc>
          <w:tcPr>
            <w:tcW w:type="dxa" w:w="566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客户经理、区域、客户量、数据周期和试点时间</w:t>
            </w:r>
          </w:p>
        </w:tc>
        <w:tc>
          <w:tcPr>
            <w:tcW w:type="dxa" w:w="243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业务负责人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28"/>
        </w:rPr>
        <w:t>11. 需求变更原则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0"/>
        </w:rPr>
        <w:t>客户确认后，新增功能、扩大数据范围、增加外部系统接入、修改核心流程或调整验收标准，应形成需求变更记录，说明变更原因、影响范围、工期影响和双方确认结果。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00000"/>
          <w:sz w:val="28"/>
        </w:rPr>
        <w:t>12. 客户确认签字</w:t>
      </w: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0"/>
        </w:rPr>
        <w:t>客户确认以下内容：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已阅读并理解本需求设计说明书。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认可第一阶段建设目标、功能范围、暂不纳入范围和验收标准。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认可 HTML Demo 仅作为交互原型，不代表正式数据和正式业务规则。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同意将本文件作为后续详细设计、开发、测试和验收的依据。</w:t>
      </w:r>
    </w:p>
    <w:p>
      <w:pPr>
        <w:pStyle w:val="ListBullet"/>
        <w:spacing w:after="40" w:line="283" w:lineRule="auto"/>
        <w:ind w:left="420"/>
      </w:pPr>
      <w:r>
        <w:rPr>
          <w:rFonts w:ascii="Microsoft YaHei" w:hAnsi="Microsoft YaHei" w:eastAsia="Microsoft YaHei"/>
          <w:b w:val="0"/>
          <w:color w:val="000000"/>
          <w:sz w:val="20"/>
        </w:rPr>
        <w:t>对第10节所列业务参数，在实施前按约定完成补充确认。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确认方</w:t>
            </w:r>
          </w:p>
        </w:tc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单位/部门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姓名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职务</w:t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签字</w:t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日期</w:t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客户业务负责人</w:t>
            </w:r>
          </w:p>
        </w:tc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客户技术/平台负责人</w:t>
            </w:r>
          </w:p>
        </w:tc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客户信息安全负责人</w:t>
            </w:r>
          </w:p>
        </w:tc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项目实施方负责人</w:t>
            </w:r>
          </w:p>
        </w:tc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41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7FA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</w:tbl>
    <w:p>
      <w:pPr>
        <w:spacing w:after="20"/>
      </w:pPr>
    </w:p>
    <w:p>
      <w:pPr>
        <w:spacing w:after="80" w:line="300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0"/>
        </w:rPr>
        <w:t>客户意见或补充说明：</w:t>
      </w:r>
    </w:p>
    <w:p>
      <w:pPr>
        <w:spacing w:after="160" w:line="300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0"/>
        </w:rPr>
        <w:t>______________________________________________________________________________</w:t>
      </w:r>
    </w:p>
    <w:p>
      <w:pPr>
        <w:spacing w:after="160" w:line="300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0"/>
        </w:rPr>
        <w:t>______________________________________________________________________________</w:t>
      </w:r>
    </w:p>
    <w:p>
      <w:pPr>
        <w:spacing w:after="160" w:line="300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0"/>
        </w:rPr>
        <w:t>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77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>政企客户欠费与到期管理工具最终需求设计说明书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