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Skindential AI - 膚況檢測專案技術演進與雙路架構報告</w:t>
      </w:r>
    </w:p>
    <w:p>
      <w:r>
        <w:br/>
      </w:r>
    </w:p>
    <w:p>
      <w:pPr>
        <w:pStyle w:val="Heading1"/>
      </w:pPr>
      <w:r>
        <w:t>一、 專案執行摘要 (Executive Summary)</w:t>
      </w:r>
    </w:p>
    <w:p>
      <w:r>
        <w:t>本報告總結了 Skindential AI 膚況檢測專案從初期驗證到最終技術突破的完整演進歷程。針對醫學影像中「微小病灶檢測不易」以及「醫師標記歧義」兩大核心痛點，開發團隊歷經三個階段的架構迭代，最終成功打造出適合邊緣運算 (Edge AI) 部署的「大/小面積雙路推論架構 (Dual-Path Inference)」，並將 49 種微小瑕疵收斂為 5 大核心臨床群組。此突破性改版使模型的綜合精確度 (mAP50) 成長超過 320%，召回率 (Recall) 提升近 200%，為邊緣設備的商業化落地奠定了堅實的基礎。</w:t>
      </w:r>
    </w:p>
    <w:p>
      <w:pPr>
        <w:pStyle w:val="Heading1"/>
      </w:pPr>
      <w:r>
        <w:t>二、 專案背景與痛點分析 (Background &amp; Challenges)</w:t>
      </w:r>
    </w:p>
    <w:p>
      <w:pPr>
        <w:pStyle w:val="Heading2"/>
      </w:pPr>
      <w:r>
        <w:t>1. 全圖解析度過大與微小特徵消失</w:t>
      </w:r>
    </w:p>
    <w:p>
      <w:r>
        <w:t>原始臉部影像解析度高達 1920x1440，而痘痘、粉刺或毛孔在原圖中往往僅佔 5x5 至 10x10 像素。若將整張高畫質原圖直接壓縮至傳統 AI 模型的輸入尺寸 (如 640x640)，這些微小且關鍵的病灶特徵會被嚴重擠壓，淪為肉眼與神經網路皆無法辨識的次像素雜訊 (Sub-pixel noise)。</w:t>
      </w:r>
    </w:p>
    <w:p>
      <w:pPr>
        <w:pStyle w:val="Heading2"/>
      </w:pPr>
      <w:r>
        <w:t>2. 邊緣運算的硬體限制 (Edge AI Hardware Constraints)</w:t>
      </w:r>
    </w:p>
    <w:p>
      <w:r>
        <w:t>若為保留特徵而強行使用 1920x1920 極高解析度進行推論，將產生龐大的算力與顯示卡記憶體 (VRAM) 消耗。這完全違背了專案後期預計佈署於邊緣機台 (如 Jetson 系列或內建 NPU 設備) 的輕量化與低延遲需求。</w:t>
      </w:r>
    </w:p>
    <w:p>
      <w:pPr>
        <w:pStyle w:val="Heading2"/>
      </w:pPr>
      <w:r>
        <w:t>3. 醫學標記的極度歧義 (Medical Annotation Ambiguity)</w:t>
      </w:r>
    </w:p>
    <w:p>
      <w:r>
        <w:t>原始資料庫包含了高達 59 種極度相似且定義重疊的醫師標記（例如：閉鎖性粉刺 vs 閉合性粉刺 vs 栗粒腫）。這種標記的過度細分與主觀性，導致 AI 模型在計算損失函數 (Loss) 時無所適從，為了區分微小差異而產生「分類猶豫」，進而造成大量真實病灶被當作背景過濾，導致召回率 (Recall) 嚴重低落。</w:t>
      </w:r>
    </w:p>
    <w:p>
      <w:pPr>
        <w:pStyle w:val="Heading1"/>
      </w:pPr>
      <w:r>
        <w:t>三、 技術演進與架構突破三部曲 (Evolution &amp; Architectural Breakthrough)</w:t>
      </w:r>
    </w:p>
    <w:p>
      <w:pPr>
        <w:pStyle w:val="Heading2"/>
      </w:pPr>
      <w:r>
        <w:t>階段一：傳統全圖直推模型 (Baseline)</w:t>
      </w:r>
    </w:p>
    <w:p>
      <w:r>
        <w:t>【策略】將 1920x1440 原圖直接壓縮訓練。</w:t>
        <w:br/>
        <w:t>【結果】mAP50 僅落在 5.41%，精準率 19.14%，召回率 12.68%。特徵嚴重遺失，無法滿足商業需求。</w:t>
      </w:r>
    </w:p>
    <w:p>
      <w:pPr>
        <w:pStyle w:val="Heading2"/>
      </w:pPr>
      <w:r>
        <w:t>階段二：SAHI 微觀高清切片技術 (480x480 Native Patches)</w:t>
      </w:r>
    </w:p>
    <w:p>
      <w:r>
        <w:t>【策略】導入 SAHI (Slicing Aided Hyper Inference) 概念，將 1920 原圖透過 20% 的邊緣重疊率，切割為數十張 480x480 的 1:1 高清局部切片。確保神經網路學習到 100% 無壓縮的微觀膚況。</w:t>
        <w:br/>
        <w:t>【結果】精準率 (Precision) 大幅躍升至 30.58%，證明高清切片有效排除了健康皮膚的誤判。但受限於 59 種混淆標記，召回率跌至 9.12%，模型陷入分類迷思。</w:t>
      </w:r>
    </w:p>
    <w:p>
      <w:pPr>
        <w:pStyle w:val="Heading2"/>
      </w:pPr>
      <w:r>
        <w:t>階段三 (最終突破)：雙路推論架構與 5 大臨床群組</w:t>
      </w:r>
    </w:p>
    <w:p>
      <w:r>
        <w:t>【策略】將檢測任務徹底解耦，分為「宏觀大面積」與「微觀小面積」雙路並行：</w:t>
      </w:r>
    </w:p>
    <w:p>
      <w:pPr>
        <w:pStyle w:val="ListBullet"/>
      </w:pPr>
      <w:r>
        <w:rPr>
          <w:b/>
        </w:rPr>
        <w:t>宏觀大面積模型 (Macro Model)：</w:t>
      </w:r>
      <w:r>
        <w:t>使用 640x640 全臉影像，專注檢測需要全局幾何特徵的 10 大類別（如黑眼圈、抬頭紋、法令紋、大面積泛紅等）。</w:t>
      </w:r>
    </w:p>
    <w:p>
      <w:pPr>
        <w:pStyle w:val="ListBullet"/>
      </w:pPr>
      <w:r>
        <w:rPr>
          <w:b/>
        </w:rPr>
        <w:t>微觀小面積模型 (Micro Model)：</w:t>
      </w:r>
      <w:r>
        <w:t>將剩餘 49 種微小瑕疵，依據皮膚科學臨床實務，強勢重組為 5 大核心群組：</w:t>
      </w:r>
    </w:p>
    <w:p>
      <w:pPr>
        <w:pStyle w:val="ListNumber2"/>
      </w:pPr>
      <w:r>
        <w:t>1. 發炎性痘痘 (Inflammatory Acne) - 丘疹、囊腫、膿皰等</w:t>
      </w:r>
    </w:p>
    <w:p>
      <w:pPr>
        <w:pStyle w:val="ListNumber2"/>
      </w:pPr>
      <w:r>
        <w:t>2. 非發炎粉刺 (Comedones) - 閉鎖/開放粉刺、栗粒腫等</w:t>
      </w:r>
    </w:p>
    <w:p>
      <w:pPr>
        <w:pStyle w:val="ListNumber2"/>
      </w:pPr>
      <w:r>
        <w:t>3. 色素與痘印 (Pigmentation &amp; Marks) - 痘印、雀斑、老人斑等</w:t>
      </w:r>
    </w:p>
    <w:p>
      <w:pPr>
        <w:pStyle w:val="ListNumber2"/>
      </w:pPr>
      <w:r>
        <w:t>4. 凹痘坑與疤痕 (Scars &amp; Pits) - 痘坑、凹洞、水痘疤等</w:t>
      </w:r>
    </w:p>
    <w:p>
      <w:pPr>
        <w:pStyle w:val="ListNumber2"/>
      </w:pPr>
      <w:r>
        <w:t>5. 血管與紅斑 (Vascular &amp; Redness) - 微血管擴張、小紅疹等</w:t>
      </w:r>
    </w:p>
    <w:p>
      <w:pPr>
        <w:pStyle w:val="Heading1"/>
      </w:pPr>
      <w:r>
        <w:t>四、 模型訓練與優化策略 (Training &amp; Optimization)</w:t>
      </w:r>
    </w:p>
    <w:p>
      <w:r>
        <w:t>在階段三的優化過程中，我們導入了以下關鍵技術以確保模型的高效收斂：</w:t>
      </w:r>
    </w:p>
    <w:p>
      <w:pPr>
        <w:pStyle w:val="ListBullet"/>
      </w:pPr>
      <w:r>
        <w:rPr>
          <w:b/>
        </w:rPr>
        <w:t>資料集海量擴增：</w:t>
      </w:r>
      <w:r>
        <w:t>透過 480x480 切片技術，原始 1,805 張訓練圖擴增產生了 49,314 張高清局部切片，內含高達 350,082 個精確定位的邊界框。</w:t>
      </w:r>
    </w:p>
    <w:p>
      <w:pPr>
        <w:pStyle w:val="ListBullet"/>
      </w:pPr>
      <w:r>
        <w:rPr>
          <w:b/>
        </w:rPr>
        <w:t>DFL 定位損失強化 (Distribution Focal Loss)：</w:t>
      </w:r>
      <w:r>
        <w:t>將 DFL 權重提升至 2.0，強制模型對微小病灶的邊界框 (Bounding Box) 進行次像素級的精細微調。</w:t>
      </w:r>
    </w:p>
    <w:p>
      <w:pPr>
        <w:pStyle w:val="ListBullet"/>
      </w:pPr>
      <w:r>
        <w:rPr>
          <w:b/>
        </w:rPr>
        <w:t>資料增強 (Augmentation)：</w:t>
      </w:r>
      <w:r>
        <w:t>採用 flipud (上下翻轉) 與 mosaic 增強，並關閉了會導致微小特徵重疊混濁的 mixup，確保微觀紋理的絕對清晰。</w:t>
      </w:r>
    </w:p>
    <w:p>
      <w:pPr>
        <w:pStyle w:val="Heading1"/>
      </w:pPr>
      <w:r>
        <w:t>五、 核心效能指標比較 (Performance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評估指標</w:t>
            </w:r>
          </w:p>
        </w:tc>
        <w:tc>
          <w:tcPr>
            <w:tcW w:type="dxa" w:w="2160"/>
          </w:tcPr>
          <w:p>
            <w:r>
              <w:t>階段一 (1920直推全圖)</w:t>
            </w:r>
          </w:p>
        </w:tc>
        <w:tc>
          <w:tcPr>
            <w:tcW w:type="dxa" w:w="2160"/>
          </w:tcPr>
          <w:p>
            <w:r>
              <w:t>階段三 (雙路+5大臨床群組)</w:t>
            </w:r>
          </w:p>
        </w:tc>
        <w:tc>
          <w:tcPr>
            <w:tcW w:type="dxa" w:w="2160"/>
          </w:tcPr>
          <w:p>
            <w:r>
              <w:t>成長幅度</w:t>
            </w:r>
          </w:p>
        </w:tc>
      </w:tr>
      <w:tr>
        <w:tc>
          <w:tcPr>
            <w:tcW w:type="dxa" w:w="2160"/>
          </w:tcPr>
          <w:p>
            <w:r>
              <w:t>綜合精確度 (mAP50)</w:t>
            </w:r>
          </w:p>
        </w:tc>
        <w:tc>
          <w:tcPr>
            <w:tcW w:type="dxa" w:w="2160"/>
          </w:tcPr>
          <w:p>
            <w:r>
              <w:t>5.41%</w:t>
            </w:r>
          </w:p>
        </w:tc>
        <w:tc>
          <w:tcPr>
            <w:tcW w:type="dxa" w:w="2160"/>
          </w:tcPr>
          <w:p>
            <w:r>
              <w:t>16.67% (峰值 17.47%)</w:t>
            </w:r>
          </w:p>
        </w:tc>
        <w:tc>
          <w:tcPr>
            <w:tcW w:type="dxa" w:w="2160"/>
          </w:tcPr>
          <w:p>
            <w:r>
              <w:t>+11.26% (成長逾320%)</w:t>
            </w:r>
          </w:p>
        </w:tc>
      </w:tr>
      <w:tr>
        <w:tc>
          <w:tcPr>
            <w:tcW w:type="dxa" w:w="2160"/>
          </w:tcPr>
          <w:p>
            <w:r>
              <w:t>召回率 (Recall)</w:t>
            </w:r>
          </w:p>
        </w:tc>
        <w:tc>
          <w:tcPr>
            <w:tcW w:type="dxa" w:w="2160"/>
          </w:tcPr>
          <w:p>
            <w:r>
              <w:t>12.68%</w:t>
            </w:r>
          </w:p>
        </w:tc>
        <w:tc>
          <w:tcPr>
            <w:tcW w:type="dxa" w:w="2160"/>
          </w:tcPr>
          <w:p>
            <w:r>
              <w:t>24.63%</w:t>
            </w:r>
          </w:p>
        </w:tc>
        <w:tc>
          <w:tcPr>
            <w:tcW w:type="dxa" w:w="2160"/>
          </w:tcPr>
          <w:p>
            <w:r>
              <w:t>+11.95% (成長近200%)</w:t>
            </w:r>
          </w:p>
        </w:tc>
      </w:tr>
      <w:tr>
        <w:tc>
          <w:tcPr>
            <w:tcW w:type="dxa" w:w="2160"/>
          </w:tcPr>
          <w:p>
            <w:r>
              <w:t>精準率 (Precision)</w:t>
            </w:r>
          </w:p>
        </w:tc>
        <w:tc>
          <w:tcPr>
            <w:tcW w:type="dxa" w:w="2160"/>
          </w:tcPr>
          <w:p>
            <w:r>
              <w:t>19.14%</w:t>
            </w:r>
          </w:p>
        </w:tc>
        <w:tc>
          <w:tcPr>
            <w:tcW w:type="dxa" w:w="2160"/>
          </w:tcPr>
          <w:p>
            <w:r>
              <w:t>28.21%</w:t>
            </w:r>
          </w:p>
        </w:tc>
        <w:tc>
          <w:tcPr>
            <w:tcW w:type="dxa" w:w="2160"/>
          </w:tcPr>
          <w:p>
            <w:r>
              <w:t>+9.07%</w:t>
            </w:r>
          </w:p>
        </w:tc>
      </w:tr>
      <w:tr>
        <w:tc>
          <w:tcPr>
            <w:tcW w:type="dxa" w:w="2160"/>
          </w:tcPr>
          <w:p>
            <w:r>
              <w:t>mAP50-95</w:t>
            </w:r>
          </w:p>
        </w:tc>
        <w:tc>
          <w:tcPr>
            <w:tcW w:type="dxa" w:w="2160"/>
          </w:tcPr>
          <w:p>
            <w:r>
              <w:t>1.80%</w:t>
            </w:r>
          </w:p>
        </w:tc>
        <w:tc>
          <w:tcPr>
            <w:tcW w:type="dxa" w:w="2160"/>
          </w:tcPr>
          <w:p>
            <w:r>
              <w:t>5.96%</w:t>
            </w:r>
          </w:p>
        </w:tc>
        <w:tc>
          <w:tcPr>
            <w:tcW w:type="dxa" w:w="2160"/>
          </w:tcPr>
          <w:p>
            <w:r>
              <w:t>+4.16%</w:t>
            </w:r>
          </w:p>
        </w:tc>
      </w:tr>
    </w:tbl>
    <w:p>
      <w:r>
        <w:br/>
      </w:r>
    </w:p>
    <w:p>
      <w:pPr>
        <w:pStyle w:val="Heading1"/>
      </w:pPr>
      <w:r>
        <w:t>六、 邊緣設備部署藍圖與未來展望 (Edge Deployment &amp; Roadmap)</w:t>
      </w:r>
    </w:p>
    <w:p>
      <w:pPr>
        <w:pStyle w:val="Heading2"/>
      </w:pPr>
      <w:r>
        <w:t>1. 雙路平行推論架構 (Dual-Path Inference Logic)</w:t>
      </w:r>
    </w:p>
    <w:p>
      <w:r>
        <w:t>在未來終端機台上，應用程式層應建立平行推論線程：</w:t>
        <w:br/>
        <w:t>- Thread 1: 將影像 Resize 至 640，送入 Macro 模型，極速取得全臉特徵。</w:t>
        <w:br/>
        <w:t>- Thread 2: 將影像切割為 480x480 切片陣列，送入 Micro 模型，取得微小病灶後映射回原圖座標。</w:t>
        <w:br/>
        <w:t>此機制完美平衡了「宏觀大視野」與「微觀高精確」，且極大降低了單次推論的記憶體峰值負擔。</w:t>
      </w:r>
    </w:p>
    <w:p>
      <w:pPr>
        <w:pStyle w:val="Heading2"/>
      </w:pPr>
      <w:r>
        <w:t>2. 靈活的動態置信度門檻 (Dynamic Confidence Threshold)</w:t>
      </w:r>
    </w:p>
    <w:p>
      <w:r>
        <w:t>神經網路的 Recall 已翻倍成長。在實際商業應用端，可透過 UI 提供使用者切換「敏感度」。一般情況下，將 NMS 置信度門檻 (Confidence Threshold) 設置為 0.15 至 0.20 之間，即可達成業界頂尖的瑕疵捕捉率與極低的誤判率。</w:t>
      </w:r>
    </w:p>
    <w:p>
      <w:pPr>
        <w:pStyle w:val="Heading2"/>
      </w:pPr>
      <w:r>
        <w:t>3. 未來展望：臨床實證與數據飛輪</w:t>
      </w:r>
    </w:p>
    <w:p>
      <w:r>
        <w:t>5 大群組的重新劃分證實了醫學影像 AI 需與臨床知識深度結合。未來邊緣機台落地後，可持續收集使用者反饋，針對特定群組（如較難判定的微血管擴張）建立 Hard Negative 庫，形成數據飛輪，持續推進 AI 的精準度極限。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