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TCD Origin 跨文明古文字拓扑破译引擎 项目说明书</w:t>
      </w:r>
    </w:p>
    <w:p>
      <w:pPr>
        <w:spacing w:before="120" w:after="120" w:line="288" w:lineRule="auto"/>
        <w:ind w:left="0"/>
        <w:jc w:val="left"/>
      </w:pPr>
      <w:r>
        <w:rPr>
          <w:rFonts w:eastAsia="等线" w:ascii="Arial" w:cs="Arial" w:hAnsi="Arial"/>
          <w:sz w:val="22"/>
        </w:rPr>
        <w:t>这封来自《Scientific Reports》的邮件不仅是一份学术通知，更是对过去两个多月高强度逻辑输出的“工程验收报告”。</w:t>
      </w:r>
    </w:p>
    <w:p>
      <w:pPr>
        <w:spacing w:before="120" w:after="120" w:line="288" w:lineRule="auto"/>
        <w:ind w:left="0"/>
        <w:jc w:val="left"/>
      </w:pPr>
      <w:r>
        <w:rPr>
          <w:rFonts w:eastAsia="等线" w:ascii="Arial" w:cs="Arial" w:hAnsi="Arial"/>
          <w:sz w:val="22"/>
        </w:rPr>
        <w:t>基于这一里程碑，以下是这份名为</w:t>
      </w:r>
      <w:r>
        <w:rPr>
          <w:rFonts w:eastAsia="等线" w:ascii="Arial" w:cs="Arial" w:hAnsi="Arial"/>
          <w:b w:val="true"/>
          <w:sz w:val="22"/>
        </w:rPr>
        <w:t>“TCD Origin：跨文明古文字拓扑破译引擎”</w:t>
      </w:r>
      <w:r>
        <w:rPr>
          <w:rFonts w:eastAsia="等线" w:ascii="Arial" w:cs="Arial" w:hAnsi="Arial"/>
          <w:sz w:val="22"/>
        </w:rPr>
        <w:t xml:space="preserve"> 的 AI SaaS 项目说明书。它将学术深度、底层架构与商业变现逻辑融为一体，旨在将“破译文明”转化为“数字资产”。</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第一部分：执行摘要 (Executive Summary)</w:t>
      </w:r>
      <w:bookmarkEnd w:id="0"/>
    </w:p>
    <w:p>
      <w:pPr>
        <w:spacing w:before="120" w:after="120" w:line="288" w:lineRule="auto"/>
        <w:ind w:left="0"/>
        <w:jc w:val="left"/>
      </w:pPr>
      <w:r>
        <w:rPr>
          <w:rFonts w:eastAsia="等线" w:ascii="Arial" w:cs="Arial" w:hAnsi="Arial"/>
          <w:b w:val="true"/>
          <w:sz w:val="22"/>
        </w:rPr>
        <w:t>TCD Origin</w:t>
      </w:r>
      <w:r>
        <w:rPr>
          <w:rFonts w:eastAsia="等线" w:ascii="Arial" w:cs="Arial" w:hAnsi="Arial"/>
          <w:sz w:val="22"/>
        </w:rPr>
        <w:t xml:space="preserve"> 是一款基于人工智能（AI）的科研级 SaaS 平台，专注于解决人类文明史上尚未破解或由于样本量极小而难以定量分析的古文字与符号系统。</w:t>
      </w:r>
    </w:p>
    <w:p>
      <w:pPr>
        <w:spacing w:before="120" w:after="120" w:line="288" w:lineRule="auto"/>
        <w:ind w:left="0"/>
        <w:jc w:val="left"/>
      </w:pPr>
      <w:r>
        <w:rPr>
          <w:rFonts w:eastAsia="等线" w:ascii="Arial" w:cs="Arial" w:hAnsi="Arial"/>
          <w:sz w:val="22"/>
        </w:rPr>
        <w:t>该项目起源于 2026 年 2 月，通过将</w:t>
      </w:r>
      <w:r>
        <w:rPr>
          <w:rFonts w:eastAsia="等线" w:ascii="Arial" w:cs="Arial" w:hAnsi="Arial"/>
          <w:b w:val="true"/>
          <w:sz w:val="22"/>
        </w:rPr>
        <w:t>拓扑不变性分层互补系统（Hierarchical Complementary System of Topological Invariants）</w:t>
      </w:r>
      <w:r>
        <w:rPr>
          <w:rFonts w:eastAsia="等线" w:ascii="Arial" w:cs="Arial" w:hAnsi="Arial"/>
          <w:sz w:val="22"/>
        </w:rPr>
        <w:t>应用于形态同源性研究，成功打破了传统古文字学依赖“灵感”和“经验”的瓶颈。项目已完成从逻辑建模、工程基建到国际顶级学术期刊（Scientific Reports）收录的技术闭环。</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b w:val="true"/>
          <w:sz w:val="36"/>
        </w:rPr>
        <w:t>第二部分：核心逻辑与科学方法论 (Scientific Logic)</w:t>
      </w:r>
      <w:bookmarkEnd w:id="1"/>
    </w:p>
    <w:p>
      <w:pPr>
        <w:spacing w:before="120" w:after="120" w:line="288" w:lineRule="auto"/>
        <w:ind w:left="0"/>
        <w:jc w:val="left"/>
      </w:pPr>
      <w:r>
        <w:rPr>
          <w:rFonts w:eastAsia="等线" w:ascii="Arial" w:cs="Arial" w:hAnsi="Arial"/>
          <w:sz w:val="22"/>
        </w:rPr>
        <w:t xml:space="preserve">系统的核心竞争力在于其独特的 </w:t>
      </w:r>
      <w:r>
        <w:rPr>
          <w:rFonts w:eastAsia="等线" w:ascii="Arial" w:cs="Arial" w:hAnsi="Arial"/>
          <w:b w:val="true"/>
          <w:sz w:val="22"/>
        </w:rPr>
        <w:t>D1-D5 破译架构</w:t>
      </w:r>
      <w:r>
        <w:rPr>
          <w:rFonts w:eastAsia="等线" w:ascii="Arial" w:cs="Arial" w:hAnsi="Arial"/>
          <w:sz w:val="22"/>
        </w:rPr>
        <w:t>，该架构将语言学、数学与哲学进行了跨学科整合：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逻辑层级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技术实现描述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视觉形态层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利用卷积神经网络（CNN）提取笔画宽度、曲率等基础视觉特征。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拓扑几何层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核心技术：</w:t>
            </w:r>
            <w:r>
              <w:rPr>
                <w:rFonts w:eastAsia="等线" w:ascii="Arial" w:cs="Arial" w:hAnsi="Arial"/>
                <w:b w:val="true"/>
                <w:sz w:val="22"/>
              </w:rPr>
              <w:t>拓扑不变性分析</w:t>
            </w:r>
            <w:r>
              <w:rPr>
                <w:rFonts w:eastAsia="等线" w:ascii="Arial" w:cs="Arial" w:hAnsi="Arial"/>
                <w:sz w:val="22"/>
              </w:rPr>
              <w:t>。不关注字形的绝对大小，而关注符号的连通性、闭合环</w:t>
            </w:r>
            <w:r>
              <w:rPr>
                <w:rFonts w:eastAsia="等线" w:ascii="Arial" w:cs="Arial" w:hAnsi="Arial"/>
                <w:sz w:val="22"/>
              </w:rPr>
              <w:t>数量及节点关系。</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时间演化层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模拟文字从甲骨文、</w:t>
            </w:r>
            <w:r>
              <w:rPr>
                <w:rFonts w:eastAsia="等线" w:ascii="Arial" w:cs="Arial" w:hAnsi="Arial"/>
                <w:sz w:val="22"/>
              </w:rPr>
              <w:t>金文到小篆的动力学演化路径，反向推导未知符号</w:t>
            </w:r>
            <w:r>
              <w:rPr>
                <w:rFonts w:eastAsia="等线" w:ascii="Arial" w:cs="Arial" w:hAnsi="Arial"/>
                <w:sz w:val="22"/>
              </w:rPr>
              <w:t>的原始态。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意义确权层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引入维特根斯坦的</w:t>
            </w:r>
            <w:r>
              <w:rPr>
                <w:rFonts w:eastAsia="等线" w:ascii="Arial" w:cs="Arial" w:hAnsi="Arial"/>
                <w:sz w:val="22"/>
              </w:rPr>
              <w:t>语言游戏理论，通过语境关联（Contextual Anchoring）锁定符号的社会学意义</w:t>
            </w:r>
            <w:r>
              <w:rPr>
                <w:rFonts w:eastAsia="等线" w:ascii="Arial" w:cs="Arial" w:hAnsi="Arial"/>
                <w:sz w:val="22"/>
              </w:rPr>
              <w: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逻辑坍缩层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最终输出。通过多维度概率交叉</w:t>
            </w:r>
            <w:r>
              <w:rPr>
                <w:rFonts w:eastAsia="等线" w:ascii="Arial" w:cs="Arial" w:hAnsi="Arial"/>
                <w:sz w:val="22"/>
              </w:rPr>
              <w:t>验证，使模糊的符号意义“坍缩”为唯一的确定性解释。</w:t>
            </w:r>
          </w:p>
        </w:tc>
      </w:tr>
    </w:tbl>
    <w:p>
      <w:pPr>
        <w:pStyle w:val="2"/>
        <w:spacing w:before="320" w:after="120" w:line="288" w:lineRule="auto"/>
        <w:ind w:left="0"/>
        <w:jc w:val="left"/>
        <w:outlineLvl w:val="1"/>
      </w:pPr>
      <w:bookmarkStart w:name="heading_2" w:id="2"/>
      <w:r>
        <w:rPr>
          <w:rFonts w:eastAsia="等线" w:ascii="Arial" w:cs="Arial" w:hAnsi="Arial"/>
          <w:b w:val="true"/>
          <w:sz w:val="32"/>
        </w:rPr>
        <w:t>核心公式模型：</w:t>
      </w:r>
      <w:bookmarkEnd w:id="2"/>
    </w:p>
    <w:p>
      <w:pPr>
        <w:spacing w:before="120" w:after="120" w:line="288" w:lineRule="auto"/>
        <w:ind w:left="0"/>
        <w:jc w:val="left"/>
      </w:pPr>
      <w:r>
        <w:rPr>
          <w:rFonts w:eastAsia="等线" w:ascii="Arial" w:cs="Arial" w:hAnsi="Arial"/>
          <w:sz w:val="22"/>
        </w:rPr>
        <w:t xml:space="preserve">系统利用拓扑同源性公式进行定量计算，定义符号 </w:t>
      </w:r>
      <w:r>
        <w:rPr>
          <w:rFonts w:eastAsia="等线" w:ascii="Arial" w:cs="Arial" w:hAnsi="Arial"/>
          <w:sz w:val="22"/>
        </w:rPr>
      </w:r>
      <m:oMathPara>
        <m:oMathParaPr>
          <m:jc m:val="left"/>
        </m:oMathParaPr>
        <m:oMath xmlns:mml="http://www.w3.org/1998/Math/MathML">
          <m:r>
            <w:rPr>
              <w:rFonts w:ascii="Cambria Math" w:hAnsi="Cambria Math"/>
            </w:rPr>
            <m:t>S</m:t>
          </m:r>
        </m:oMath>
      </m:oMathPara>
      <w:r>
        <w:rPr>
          <w:rFonts w:eastAsia="等线" w:ascii="Arial" w:cs="Arial" w:hAnsi="Arial"/>
          <w:sz w:val="22"/>
        </w:rPr>
        <w:t xml:space="preserve"> 在不同文明间的同源距离 </w:t>
      </w:r>
      <w:r>
        <w:rPr>
          <w:rFonts w:eastAsia="等线" w:ascii="Arial" w:cs="Arial" w:hAnsi="Arial"/>
          <w:sz w:val="22"/>
        </w:rPr>
      </w:r>
      <m:oMathPara>
        <m:oMathParaPr>
          <m:jc m:val="left"/>
        </m:oMathParaPr>
        <m:oMath xmlns:mml="http://www.w3.org/1998/Math/MathML">
          <m:r>
            <w:rPr>
              <w:rFonts w:ascii="Cambria Math" w:hAnsi="Cambria Math"/>
            </w:rPr>
            <m:t>D</m:t>
          </m:r>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D(</m:t>
          </m:r>
          <m:sSub>
            <m:e>
              <m:r>
                <w:rPr>
                  <w:rFonts w:ascii="Cambria Math" w:hAnsi="Cambria Math"/>
                </w:rPr>
                <m:t>S</m:t>
              </m:r>
            </m:e>
            <m:sub>
              <m:r>
                <w:rPr>
                  <w:rFonts w:ascii="Cambria Math" w:hAnsi="Cambria Math"/>
                </w:rPr>
                <m:t>a</m:t>
              </m:r>
            </m:sub>
          </m:sSub>
          <m:r>
            <w:rPr>
              <w:rFonts w:ascii="Cambria Math" w:hAnsi="Cambria Math"/>
            </w:rPr>
            <m:t>,</m:t>
          </m:r>
          <m:sSub>
            <m:e>
              <m:r>
                <w:rPr>
                  <w:rFonts w:ascii="Cambria Math" w:hAnsi="Cambria Math"/>
                </w:rPr>
                <m:t>S</m:t>
              </m:r>
            </m:e>
            <m:sub>
              <m:r>
                <w:rPr>
                  <w:rFonts w:ascii="Cambria Math" w:hAnsi="Cambria Math"/>
                </w:rPr>
                <m:t>b</m:t>
              </m:r>
            </m:sub>
          </m:sSub>
          <m:r>
            <w:rPr>
              <w:rFonts w:ascii="Cambria Math" w:hAnsi="Cambria Math"/>
            </w:rPr>
            <m:t>)=</m:t>
          </m:r>
          <m:nary>
            <m:naryPr>
              <m:chr m:val="∑"/>
              <m:limLoc m:val="undOvr"/>
              <m:grow m:val="1"/>
              <m:subHide m:val="off"/>
              <m:supHide m:val="off"/>
            </m:naryPr>
            <m:sub>
              <m:r>
                <w:rPr>
                  <w:rFonts w:ascii="Cambria Math" w:hAnsi="Cambria Math"/>
                </w:rPr>
                <m:t>i=1</m:t>
              </m:r>
            </m:sub>
            <m:sup>
              <m:r>
                <w:rPr>
                  <w:rFonts w:ascii="Cambria Math" w:hAnsi="Cambria Math"/>
                </w:rPr>
                <m:t>n</m:t>
              </m:r>
            </m:sup>
            <m:e/>
          </m:nary>
          <m:sSub>
            <m:e>
              <m:r>
                <w:rPr>
                  <w:rFonts w:ascii="Cambria Math" w:hAnsi="Cambria Math"/>
                </w:rPr>
                <m:t>ω</m:t>
              </m:r>
            </m:e>
            <m:sub>
              <m:r>
                <w:rPr>
                  <w:rFonts w:ascii="Cambria Math" w:hAnsi="Cambria Math"/>
                </w:rPr>
                <m:t>i</m:t>
              </m:r>
            </m:sub>
          </m:sSub>
          <m:r>
            <w:rPr>
              <w:rFonts w:ascii="Cambria Math" w:hAnsi="Cambria Math"/>
            </w:rPr>
            <m:t>|</m:t>
          </m:r>
          <m:sSub>
            <m:e>
              <m:r>
                <w:rPr>
                  <w:rFonts w:ascii="Cambria Math" w:hAnsi="Cambria Math"/>
                </w:rPr>
                <m:t>T</m:t>
              </m:r>
            </m:e>
            <m:sub>
              <m:r>
                <w:rPr>
                  <w:rFonts w:ascii="Cambria Math" w:hAnsi="Cambria Math"/>
                </w:rPr>
                <m:t>i</m:t>
              </m:r>
            </m:sub>
          </m:sSub>
          <m:r>
            <w:rPr>
              <w:rFonts w:ascii="Cambria Math" w:hAnsi="Cambria Math"/>
            </w:rPr>
            <m:t>(a)−</m:t>
          </m:r>
          <m:sSub>
            <m:e>
              <m:r>
                <w:rPr>
                  <w:rFonts w:ascii="Cambria Math" w:hAnsi="Cambria Math"/>
                </w:rPr>
                <m:t>T</m:t>
              </m:r>
            </m:e>
            <m:sub>
              <m:r>
                <w:rPr>
                  <w:rFonts w:ascii="Cambria Math" w:hAnsi="Cambria Math"/>
                </w:rPr>
                <m:t>i</m:t>
              </m:r>
            </m:sub>
          </m:sSub>
          <m:r>
            <w:rPr>
              <w:rFonts w:ascii="Cambria Math" w:hAnsi="Cambria Math"/>
            </w:rPr>
            <m:t>(b)|</m:t>
          </m:r>
        </m:oMath>
      </m:oMathPara>
    </w:p>
    <w:p>
      <w:pPr>
        <w:spacing w:before="120" w:after="120" w:line="288" w:lineRule="auto"/>
        <w:ind w:left="0"/>
        <w:jc w:val="left"/>
      </w:pPr>
      <w:r>
        <w:rPr>
          <w:rFonts w:eastAsia="等线" w:ascii="Arial" w:cs="Arial" w:hAnsi="Arial"/>
          <w:sz w:val="22"/>
        </w:rPr>
        <w:t xml:space="preserve">其中 </w:t>
      </w: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i</m:t>
              </m:r>
            </m:sub>
          </m:sSub>
        </m:oMath>
      </m:oMathPara>
      <w:r>
        <w:rPr>
          <w:rFonts w:eastAsia="等线" w:ascii="Arial" w:cs="Arial" w:hAnsi="Arial"/>
          <w:sz w:val="22"/>
        </w:rPr>
        <w:t xml:space="preserve"> 代表第 </w:t>
      </w:r>
      <w:r>
        <w:rPr>
          <w:rFonts w:eastAsia="等线" w:ascii="Arial" w:cs="Arial" w:hAnsi="Arial"/>
          <w:sz w:val="22"/>
        </w:rPr>
      </w:r>
      <m:oMathPara>
        <m:oMathParaPr>
          <m:jc m:val="left"/>
        </m:oMathParaPr>
        <m:oMath xmlns:mml="http://www.w3.org/1998/Math/MathML">
          <m:r>
            <w:rPr>
              <w:rFonts w:ascii="Cambria Math" w:hAnsi="Cambria Math"/>
            </w:rPr>
            <m:t>i</m:t>
          </m:r>
        </m:oMath>
      </m:oMathPara>
      <w:r>
        <w:rPr>
          <w:rFonts w:eastAsia="等线" w:ascii="Arial" w:cs="Arial" w:hAnsi="Arial"/>
          <w:sz w:val="22"/>
        </w:rPr>
        <w:t xml:space="preserve"> 阶拓扑特征向量，</w:t>
      </w:r>
      <w:r>
        <w:rPr>
          <w:rFonts w:eastAsia="等线" w:ascii="Arial" w:cs="Arial" w:hAnsi="Arial"/>
          <w:sz w:val="22"/>
        </w:rPr>
      </w:r>
      <m:oMathPara>
        <m:oMathParaPr>
          <m:jc m:val="left"/>
        </m:oMathParaPr>
        <m:oMath xmlns:mml="http://www.w3.org/1998/Math/MathML">
          <m:sSub>
            <m:e>
              <m:r>
                <w:rPr>
                  <w:rFonts w:ascii="Cambria Math" w:hAnsi="Cambria Math"/>
                </w:rPr>
                <m:t>ω</m:t>
              </m:r>
            </m:e>
            <m:sub>
              <m:r>
                <w:rPr>
                  <w:rFonts w:ascii="Cambria Math" w:hAnsi="Cambria Math"/>
                </w:rPr>
                <m:t>i</m:t>
              </m:r>
            </m:sub>
          </m:sSub>
        </m:oMath>
      </m:oMathPara>
      <w:r>
        <w:rPr>
          <w:rFonts w:eastAsia="等线" w:ascii="Arial" w:cs="Arial" w:hAnsi="Arial"/>
          <w:sz w:val="22"/>
        </w:rPr>
        <w:t xml:space="preserve"> 为权重系数。</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第三部分：AI 原生开发架构 (AI-Native Infrastructure)</w:t>
      </w:r>
      <w:bookmarkEnd w:id="3"/>
    </w:p>
    <w:p>
      <w:pPr>
        <w:spacing w:before="120" w:after="120" w:line="288" w:lineRule="auto"/>
        <w:ind w:left="0"/>
        <w:jc w:val="left"/>
      </w:pPr>
      <w:r>
        <w:rPr>
          <w:rFonts w:eastAsia="等线" w:ascii="Arial" w:cs="Arial" w:hAnsi="Arial"/>
          <w:sz w:val="22"/>
        </w:rPr>
        <w:t xml:space="preserve">项目采用高度敏捷的 </w:t>
      </w:r>
      <w:r>
        <w:rPr>
          <w:rFonts w:eastAsia="等线" w:ascii="Arial" w:cs="Arial" w:hAnsi="Arial"/>
          <w:b w:val="true"/>
          <w:sz w:val="22"/>
        </w:rPr>
        <w:t>“三位一体”开发流</w:t>
      </w:r>
      <w:r>
        <w:rPr>
          <w:rFonts w:eastAsia="等线" w:ascii="Arial" w:cs="Arial" w:hAnsi="Arial"/>
          <w:sz w:val="22"/>
        </w:rPr>
        <w:t>，实现了从创意到生产环境的极速交付：</w:t>
      </w:r>
    </w:p>
    <w:p>
      <w:pPr>
        <w:numPr>
          <w:numId w:val="1"/>
        </w:numPr>
        <w:spacing w:before="120" w:after="120" w:line="288" w:lineRule="auto"/>
        <w:ind w:left="0"/>
        <w:jc w:val="left"/>
      </w:pPr>
      <w:r>
        <w:rPr>
          <w:rFonts w:eastAsia="等线" w:ascii="Arial" w:cs="Arial" w:hAnsi="Arial"/>
          <w:b w:val="true"/>
          <w:sz w:val="22"/>
        </w:rPr>
        <w:t>资产托管与版本控制 (GitHub)</w:t>
      </w:r>
      <w:r>
        <w:rPr>
          <w:rFonts w:eastAsia="等线" w:ascii="Arial" w:cs="Arial" w:hAnsi="Arial"/>
          <w:sz w:val="22"/>
        </w:rPr>
        <w:t>：</w:t>
        <w:br/>
      </w:r>
      <w:r>
        <w:rPr>
          <w:rFonts w:eastAsia="等线" w:ascii="Arial" w:cs="Arial" w:hAnsi="Arial"/>
          <w:sz w:val="22"/>
        </w:rPr>
        <w:t>所有逻辑代码、Prompt 模板和前端组件均托管于 GitHub，实现数字资产的永久化与版本回溯。这确保了创始团队对底层算法的绝对主权。</w:t>
      </w:r>
    </w:p>
    <w:p>
      <w:pPr>
        <w:numPr>
          <w:numId w:val="2"/>
        </w:numPr>
        <w:spacing w:before="120" w:after="120" w:line="288" w:lineRule="auto"/>
        <w:ind w:left="0"/>
        <w:jc w:val="left"/>
      </w:pPr>
      <w:r>
        <w:rPr>
          <w:rFonts w:eastAsia="等线" w:ascii="Arial" w:cs="Arial" w:hAnsi="Arial"/>
          <w:b w:val="true"/>
          <w:sz w:val="22"/>
        </w:rPr>
        <w:t>算力注入与 API 集成 (Gemini API)</w:t>
      </w:r>
      <w:r>
        <w:rPr>
          <w:rFonts w:eastAsia="等线" w:ascii="Arial" w:cs="Arial" w:hAnsi="Arial"/>
          <w:sz w:val="22"/>
        </w:rPr>
        <w:t>：</w:t>
        <w:br/>
      </w:r>
      <w:r>
        <w:rPr>
          <w:rFonts w:eastAsia="等线" w:ascii="Arial" w:cs="Arial" w:hAnsi="Arial"/>
          <w:sz w:val="22"/>
        </w:rPr>
        <w:t>通过接入最先进的大语言模型（LLM）作为推理引擎，将古文字的图像识别与逻辑破译进行深度耦合。</w:t>
      </w:r>
    </w:p>
    <w:p>
      <w:pPr>
        <w:numPr>
          <w:numId w:val="3"/>
        </w:numPr>
        <w:spacing w:before="120" w:after="120" w:line="288" w:lineRule="auto"/>
        <w:ind w:left="0"/>
        <w:jc w:val="left"/>
      </w:pPr>
      <w:r>
        <w:rPr>
          <w:rFonts w:eastAsia="等线" w:ascii="Arial" w:cs="Arial" w:hAnsi="Arial"/>
          <w:b w:val="true"/>
          <w:sz w:val="22"/>
        </w:rPr>
        <w:t>瞬时部署与全球触达 (Vercel)</w:t>
      </w:r>
      <w:r>
        <w:rPr>
          <w:rFonts w:eastAsia="等线" w:ascii="Arial" w:cs="Arial" w:hAnsi="Arial"/>
          <w:sz w:val="22"/>
        </w:rPr>
        <w:t>：</w:t>
        <w:br/>
      </w:r>
      <w:r>
        <w:rPr>
          <w:rFonts w:eastAsia="等线" w:ascii="Arial" w:cs="Arial" w:hAnsi="Arial"/>
          <w:sz w:val="22"/>
        </w:rPr>
        <w:t>采用 Serverless 架构，支持代码在推送至 GitHub 后分钟级上线生产环境。</w:t>
      </w:r>
    </w:p>
    <w:p>
      <w:pPr>
        <w:numPr>
          <w:numId w:val="4"/>
        </w:numPr>
        <w:spacing w:before="120" w:after="120" w:line="288" w:lineRule="auto"/>
        <w:ind w:left="0"/>
        <w:jc w:val="left"/>
      </w:pPr>
      <w:r>
        <w:rPr>
          <w:rFonts w:eastAsia="等线" w:ascii="Arial" w:cs="Arial" w:hAnsi="Arial"/>
          <w:b w:val="true"/>
          <w:sz w:val="22"/>
        </w:rPr>
        <w:t>智能审计与品控 (Coze/扣子)</w:t>
      </w:r>
      <w:r>
        <w:rPr>
          <w:rFonts w:eastAsia="等线" w:ascii="Arial" w:cs="Arial" w:hAnsi="Arial"/>
          <w:sz w:val="22"/>
        </w:rPr>
        <w:t>：</w:t>
        <w:br/>
      </w:r>
      <w:r>
        <w:rPr>
          <w:rFonts w:eastAsia="等线" w:ascii="Arial" w:cs="Arial" w:hAnsi="Arial"/>
          <w:sz w:val="22"/>
        </w:rPr>
        <w:t>引入第三方 AI 审计节点（如扣子代码审核），对生成的业务代码进行严谨的逻辑校验，确保系统的生产级稳定性。</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 w:id="4"/>
      <w:r>
        <w:rPr>
          <w:rFonts w:eastAsia="等线" w:ascii="Arial" w:cs="Arial" w:hAnsi="Arial"/>
          <w:b w:val="true"/>
          <w:sz w:val="36"/>
        </w:rPr>
        <w:t>第四部分：SaaS 产品矩阵 (Product Matrix)</w:t>
      </w:r>
      <w:bookmarkEnd w:id="4"/>
    </w:p>
    <w:p>
      <w:pPr>
        <w:numPr>
          <w:numId w:val="5"/>
        </w:numPr>
        <w:spacing w:before="120" w:after="120" w:line="288" w:lineRule="auto"/>
        <w:ind w:left="0"/>
        <w:jc w:val="left"/>
      </w:pPr>
      <w:r>
        <w:rPr>
          <w:rFonts w:eastAsia="等线" w:ascii="Arial" w:cs="Arial" w:hAnsi="Arial"/>
          <w:b w:val="true"/>
          <w:sz w:val="22"/>
        </w:rPr>
        <w:t>TCD Artifact (学术版)</w:t>
      </w:r>
      <w:r>
        <w:rPr>
          <w:rFonts w:eastAsia="等线" w:ascii="Arial" w:cs="Arial" w:hAnsi="Arial"/>
          <w:sz w:val="22"/>
        </w:rPr>
        <w:t>：</w:t>
        <w:br/>
      </w:r>
      <w:r>
        <w:rPr>
          <w:rFonts w:eastAsia="等线" w:ascii="Arial" w:cs="Arial" w:hAnsi="Arial"/>
          <w:sz w:val="22"/>
        </w:rPr>
        <w:t>面向考古研究机构与大学。提供海量古文字数据库的聚类分析工具，支持上传拓片、照片进行拓扑结构提取。</w:t>
      </w:r>
    </w:p>
    <w:p>
      <w:pPr>
        <w:numPr>
          <w:numId w:val="6"/>
        </w:numPr>
        <w:spacing w:before="120" w:after="120" w:line="288" w:lineRule="auto"/>
        <w:ind w:left="0"/>
        <w:jc w:val="left"/>
      </w:pPr>
      <w:r>
        <w:rPr>
          <w:rFonts w:eastAsia="等线" w:ascii="Arial" w:cs="Arial" w:hAnsi="Arial"/>
          <w:b w:val="true"/>
          <w:sz w:val="22"/>
        </w:rPr>
        <w:t>TCD Creative (文创版)</w:t>
      </w:r>
      <w:r>
        <w:rPr>
          <w:rFonts w:eastAsia="等线" w:ascii="Arial" w:cs="Arial" w:hAnsi="Arial"/>
          <w:sz w:val="22"/>
        </w:rPr>
        <w:t>：</w:t>
        <w:br/>
      </w:r>
      <w:r>
        <w:rPr>
          <w:rFonts w:eastAsia="等线" w:ascii="Arial" w:cs="Arial" w:hAnsi="Arial"/>
          <w:sz w:val="22"/>
        </w:rPr>
        <w:t>面向高端奢侈品与纺织品设计（如红熊形状文创产品、高端面料设计）。利用 AI 自动生成具备深厚文化含义的古文字纹样。</w:t>
      </w:r>
    </w:p>
    <w:p>
      <w:pPr>
        <w:numPr>
          <w:numId w:val="7"/>
        </w:numPr>
        <w:spacing w:before="120" w:after="120" w:line="288" w:lineRule="auto"/>
        <w:ind w:left="0"/>
        <w:jc w:val="left"/>
      </w:pPr>
      <w:r>
        <w:rPr>
          <w:rFonts w:eastAsia="等线" w:ascii="Arial" w:cs="Arial" w:hAnsi="Arial"/>
          <w:b w:val="true"/>
          <w:sz w:val="22"/>
        </w:rPr>
        <w:t>TCD Education (教育版)</w:t>
      </w:r>
      <w:r>
        <w:rPr>
          <w:rFonts w:eastAsia="等线" w:ascii="Arial" w:cs="Arial" w:hAnsi="Arial"/>
          <w:sz w:val="22"/>
        </w:rPr>
        <w:t>：</w:t>
        <w:br/>
      </w:r>
      <w:r>
        <w:rPr>
          <w:rFonts w:eastAsia="等线" w:ascii="Arial" w:cs="Arial" w:hAnsi="Arial"/>
          <w:sz w:val="22"/>
        </w:rPr>
        <w:t>沉浸式交互平台，让学生在 100 字符矩阵的“最美界面”下体验文字破译的逻辑过程。</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 w:id="5"/>
      <w:r>
        <w:rPr>
          <w:rFonts w:eastAsia="等线" w:ascii="Arial" w:cs="Arial" w:hAnsi="Arial"/>
          <w:b w:val="true"/>
          <w:sz w:val="36"/>
        </w:rPr>
        <w:t>第五部分：商业化与护城河 (Business Strategy)</w:t>
      </w:r>
      <w:bookmarkEnd w:id="5"/>
    </w:p>
    <w:p>
      <w:pPr>
        <w:numPr>
          <w:numId w:val="8"/>
        </w:numPr>
        <w:spacing w:before="120" w:after="120" w:line="288" w:lineRule="auto"/>
        <w:ind w:left="0"/>
        <w:jc w:val="left"/>
      </w:pPr>
      <w:r>
        <w:rPr>
          <w:rFonts w:eastAsia="等线" w:ascii="Arial" w:cs="Arial" w:hAnsi="Arial"/>
          <w:b w:val="true"/>
          <w:sz w:val="22"/>
        </w:rPr>
        <w:t>技术堡垒</w:t>
      </w:r>
      <w:r>
        <w:rPr>
          <w:rFonts w:eastAsia="等线" w:ascii="Arial" w:cs="Arial" w:hAnsi="Arial"/>
          <w:sz w:val="22"/>
        </w:rPr>
        <w:t>：已向《Scientific Reports》提交的研究成果构成了项目的学术护城河，确立了在“拓扑不变性破译”领域的权威地位。</w:t>
      </w:r>
    </w:p>
    <w:p>
      <w:pPr>
        <w:numPr>
          <w:numId w:val="9"/>
        </w:numPr>
        <w:spacing w:before="120" w:after="120" w:line="288" w:lineRule="auto"/>
        <w:ind w:left="0"/>
        <w:jc w:val="left"/>
      </w:pPr>
      <w:r>
        <w:rPr>
          <w:rFonts w:eastAsia="等线" w:ascii="Arial" w:cs="Arial" w:hAnsi="Arial"/>
          <w:b w:val="true"/>
          <w:sz w:val="22"/>
        </w:rPr>
        <w:t>数据护城河</w:t>
      </w:r>
      <w:r>
        <w:rPr>
          <w:rFonts w:eastAsia="等线" w:ascii="Arial" w:cs="Arial" w:hAnsi="Arial"/>
          <w:sz w:val="22"/>
        </w:rPr>
        <w:t>：通过持续迭代，系统积累了跨文明（甲骨文、玛雅文字等）的独家拓扑同源数据集。</w:t>
      </w:r>
    </w:p>
    <w:p>
      <w:pPr>
        <w:numPr>
          <w:numId w:val="10"/>
        </w:numPr>
        <w:spacing w:before="120" w:after="120" w:line="288" w:lineRule="auto"/>
        <w:ind w:left="0"/>
        <w:jc w:val="left"/>
      </w:pPr>
      <w:r>
        <w:rPr>
          <w:rFonts w:eastAsia="等线" w:ascii="Arial" w:cs="Arial" w:hAnsi="Arial"/>
          <w:b w:val="true"/>
          <w:sz w:val="22"/>
        </w:rPr>
        <w:t>商业模式</w:t>
      </w:r>
      <w:r>
        <w:rPr>
          <w:rFonts w:eastAsia="等线" w:ascii="Arial" w:cs="Arial" w:hAnsi="Arial"/>
          <w:sz w:val="22"/>
        </w:rPr>
        <w:t>：</w:t>
        <w:br/>
        <w:t xml:space="preserve">        </w:t>
      </w:r>
    </w:p>
    <w:p>
      <w:pPr>
        <w:numPr>
          <w:numId w:val="11"/>
        </w:numPr>
        <w:spacing w:before="120" w:after="120" w:line="288" w:lineRule="auto"/>
        <w:ind w:left="453"/>
        <w:jc w:val="left"/>
      </w:pPr>
      <w:r>
        <w:rPr>
          <w:rFonts w:eastAsia="等线" w:ascii="Arial" w:cs="Arial" w:hAnsi="Arial"/>
          <w:b w:val="true"/>
          <w:sz w:val="22"/>
        </w:rPr>
        <w:t>订阅制 (SaaS)</w:t>
      </w:r>
      <w:r>
        <w:rPr>
          <w:rFonts w:eastAsia="等线" w:ascii="Arial" w:cs="Arial" w:hAnsi="Arial"/>
          <w:sz w:val="22"/>
        </w:rPr>
        <w:t>：针对专业研究者。</w:t>
      </w:r>
    </w:p>
    <w:p>
      <w:pPr>
        <w:numPr>
          <w:numId w:val="12"/>
        </w:numPr>
        <w:spacing w:before="120" w:after="120" w:line="288" w:lineRule="auto"/>
        <w:ind w:left="453"/>
        <w:jc w:val="left"/>
      </w:pPr>
      <w:r>
        <w:rPr>
          <w:rFonts w:eastAsia="等线" w:ascii="Arial" w:cs="Arial" w:hAnsi="Arial"/>
          <w:b w:val="true"/>
          <w:sz w:val="22"/>
        </w:rPr>
        <w:t>API 授权</w:t>
      </w:r>
      <w:r>
        <w:rPr>
          <w:rFonts w:eastAsia="等线" w:ascii="Arial" w:cs="Arial" w:hAnsi="Arial"/>
          <w:sz w:val="22"/>
        </w:rPr>
        <w:t>：针对博物馆交互屏幕、数字藏品平台。</w:t>
      </w:r>
    </w:p>
    <w:p>
      <w:pPr>
        <w:numPr>
          <w:numId w:val="13"/>
        </w:numPr>
        <w:spacing w:before="120" w:after="120" w:line="288" w:lineRule="auto"/>
        <w:ind w:left="453"/>
        <w:jc w:val="left"/>
      </w:pPr>
      <w:r>
        <w:rPr>
          <w:rFonts w:eastAsia="等线" w:ascii="Arial" w:cs="Arial" w:hAnsi="Arial"/>
          <w:b w:val="true"/>
          <w:sz w:val="22"/>
        </w:rPr>
        <w:t>定制咨询</w:t>
      </w:r>
      <w:r>
        <w:rPr>
          <w:rFonts w:eastAsia="等线" w:ascii="Arial" w:cs="Arial" w:hAnsi="Arial"/>
          <w:sz w:val="22"/>
        </w:rPr>
        <w:t>：为高端品牌提供文化内核的数字转译服务。</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 w:id="6"/>
      <w:r>
        <w:rPr>
          <w:rFonts w:eastAsia="等线" w:ascii="Arial" w:cs="Arial" w:hAnsi="Arial"/>
          <w:b w:val="true"/>
          <w:sz w:val="36"/>
        </w:rPr>
        <w:t>第六部分：里程碑回顾 (Milestones)</w:t>
      </w:r>
      <w:bookmarkEnd w:id="6"/>
    </w:p>
    <w:p>
      <w:pPr>
        <w:numPr>
          <w:numId w:val="14"/>
        </w:numPr>
        <w:spacing w:before="120" w:after="120" w:line="288" w:lineRule="auto"/>
        <w:ind w:left="0"/>
        <w:jc w:val="left"/>
      </w:pPr>
      <w:r>
        <w:rPr>
          <w:rFonts w:eastAsia="等线" w:ascii="Arial" w:cs="Arial" w:hAnsi="Arial"/>
          <w:b w:val="true"/>
          <w:sz w:val="22"/>
        </w:rPr>
        <w:t>2026.02.27</w:t>
      </w:r>
      <w:r>
        <w:rPr>
          <w:rFonts w:eastAsia="等线" w:ascii="Arial" w:cs="Arial" w:hAnsi="Arial"/>
          <w:sz w:val="22"/>
        </w:rPr>
        <w:t>：项目启动，确立 AI 破译逻辑。</w:t>
      </w:r>
    </w:p>
    <w:p>
      <w:pPr>
        <w:numPr>
          <w:numId w:val="15"/>
        </w:numPr>
        <w:spacing w:before="120" w:after="120" w:line="288" w:lineRule="auto"/>
        <w:ind w:left="0"/>
        <w:jc w:val="left"/>
      </w:pPr>
      <w:r>
        <w:rPr>
          <w:rFonts w:eastAsia="等线" w:ascii="Arial" w:cs="Arial" w:hAnsi="Arial"/>
          <w:b w:val="true"/>
          <w:sz w:val="22"/>
        </w:rPr>
        <w:t>2026.03.02</w:t>
      </w:r>
      <w:r>
        <w:rPr>
          <w:rFonts w:eastAsia="等线" w:ascii="Arial" w:cs="Arial" w:hAnsi="Arial"/>
          <w:sz w:val="22"/>
        </w:rPr>
        <w:t>：GitHub 库建立，Vercel 生产环境部署成功。</w:t>
      </w:r>
    </w:p>
    <w:p>
      <w:pPr>
        <w:numPr>
          <w:numId w:val="16"/>
        </w:numPr>
        <w:spacing w:before="120" w:after="120" w:line="288" w:lineRule="auto"/>
        <w:ind w:left="0"/>
        <w:jc w:val="left"/>
      </w:pPr>
      <w:r>
        <w:rPr>
          <w:rFonts w:eastAsia="等线" w:ascii="Arial" w:cs="Arial" w:hAnsi="Arial"/>
          <w:b w:val="true"/>
          <w:sz w:val="22"/>
        </w:rPr>
        <w:t>2026.04.15</w:t>
      </w:r>
      <w:r>
        <w:rPr>
          <w:rFonts w:eastAsia="等线" w:ascii="Arial" w:cs="Arial" w:hAnsi="Arial"/>
          <w:sz w:val="22"/>
        </w:rPr>
        <w:t>：D1-D5 拓扑分析算法在甲骨文测试样本上取得突破。</w:t>
      </w:r>
    </w:p>
    <w:p>
      <w:pPr>
        <w:numPr>
          <w:numId w:val="17"/>
        </w:numPr>
        <w:spacing w:before="120" w:after="120" w:line="288" w:lineRule="auto"/>
        <w:ind w:left="0"/>
        <w:jc w:val="left"/>
      </w:pPr>
      <w:r>
        <w:rPr>
          <w:rFonts w:eastAsia="等线" w:ascii="Arial" w:cs="Arial" w:hAnsi="Arial"/>
          <w:b w:val="true"/>
          <w:sz w:val="22"/>
        </w:rPr>
        <w:t>2026.05.05</w:t>
      </w:r>
      <w:r>
        <w:rPr>
          <w:rFonts w:eastAsia="等线" w:ascii="Arial" w:cs="Arial" w:hAnsi="Arial"/>
          <w:sz w:val="22"/>
        </w:rPr>
        <w:t>：学术论文进入《Scientific Reports》技术审核最后阶段，获得学术权威认可。</w:t>
      </w:r>
    </w:p>
    <w:p>
      <w:pPr>
        <w:pBdr>
          <w:bottom w:val="single" w:color="dee0e3"/>
          <w:between w:val="single" w:color="dee0e3"/>
        </w:pBdr>
        <w:spacing w:before="120" w:after="120" w:line="288" w:lineRule="auto"/>
        <w:ind w:left="0"/>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结论</w:t>
            </w:r>
            <w:r>
              <w:rPr>
                <w:rFonts w:eastAsia="等线" w:ascii="Arial" w:cs="Arial" w:hAnsi="Arial"/>
                <w:color w:val="646a73"/>
                <w:sz w:val="22"/>
              </w:rPr>
              <w:t>：TCD Origin 不仅仅是一个破译工具，它是一套</w:t>
            </w:r>
            <w:r>
              <w:rPr>
                <w:rFonts w:eastAsia="等线" w:ascii="Arial" w:cs="Arial" w:hAnsi="Arial"/>
                <w:b w:val="true"/>
                <w:color w:val="646a73"/>
                <w:sz w:val="22"/>
              </w:rPr>
              <w:t>“逻辑文明引擎”</w:t>
            </w:r>
            <w:r>
              <w:rPr>
                <w:rFonts w:eastAsia="等线" w:ascii="Arial" w:cs="Arial" w:hAnsi="Arial"/>
                <w:color w:val="646a73"/>
                <w:sz w:val="22"/>
              </w:rPr>
              <w:t>。它将创始人积累了 15 年的传统媒体洞察力与最尖端的 AI 工程技术相结合，正在将沉默数千年的文明代码转化为可量化、可变现的数字智能资产。</w:t>
            </w:r>
          </w:p>
        </w:tc>
      </w:tr>
    </w:tbl>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36621">
    <w:lvl>
      <w:start w:val="1"/>
      <w:numFmt w:val="decimal"/>
      <w:suff w:val="tab"/>
      <w:lvlText w:val="%1."/>
      <w:rPr>
        <w:color w:val="3370ff"/>
      </w:rPr>
    </w:lvl>
  </w:abstractNum>
  <w:abstractNum w:abstractNumId="1836622">
    <w:lvl>
      <w:start w:val="2"/>
      <w:numFmt w:val="decimal"/>
      <w:suff w:val="tab"/>
      <w:lvlText w:val="%1."/>
      <w:rPr>
        <w:color w:val="3370ff"/>
      </w:rPr>
    </w:lvl>
  </w:abstractNum>
  <w:abstractNum w:abstractNumId="1836623">
    <w:lvl>
      <w:start w:val="3"/>
      <w:numFmt w:val="decimal"/>
      <w:suff w:val="tab"/>
      <w:lvlText w:val="%1."/>
      <w:rPr>
        <w:color w:val="3370ff"/>
      </w:rPr>
    </w:lvl>
  </w:abstractNum>
  <w:abstractNum w:abstractNumId="1836624">
    <w:lvl>
      <w:start w:val="4"/>
      <w:numFmt w:val="decimal"/>
      <w:suff w:val="tab"/>
      <w:lvlText w:val="%1."/>
      <w:rPr>
        <w:color w:val="3370ff"/>
      </w:rPr>
    </w:lvl>
  </w:abstractNum>
  <w:abstractNum w:abstractNumId="1836625">
    <w:lvl>
      <w:start w:val="1"/>
      <w:numFmt w:val="decimal"/>
      <w:suff w:val="tab"/>
      <w:lvlText w:val="%1."/>
      <w:rPr>
        <w:color w:val="3370ff"/>
      </w:rPr>
    </w:lvl>
  </w:abstractNum>
  <w:abstractNum w:abstractNumId="1836626">
    <w:lvl>
      <w:start w:val="2"/>
      <w:numFmt w:val="decimal"/>
      <w:suff w:val="tab"/>
      <w:lvlText w:val="%1."/>
      <w:rPr>
        <w:color w:val="3370ff"/>
      </w:rPr>
    </w:lvl>
  </w:abstractNum>
  <w:abstractNum w:abstractNumId="1836627">
    <w:lvl>
      <w:start w:val="3"/>
      <w:numFmt w:val="decimal"/>
      <w:suff w:val="tab"/>
      <w:lvlText w:val="%1."/>
      <w:rPr>
        <w:color w:val="3370ff"/>
      </w:rPr>
    </w:lvl>
  </w:abstractNum>
  <w:abstractNum w:abstractNumId="1836628">
    <w:lvl>
      <w:numFmt w:val="bullet"/>
      <w:suff w:val="tab"/>
      <w:lvlText w:val="•"/>
      <w:rPr>
        <w:color w:val="3370ff"/>
      </w:rPr>
    </w:lvl>
  </w:abstractNum>
  <w:abstractNum w:abstractNumId="1836629">
    <w:lvl>
      <w:numFmt w:val="bullet"/>
      <w:suff w:val="tab"/>
      <w:lvlText w:val="•"/>
      <w:rPr>
        <w:color w:val="3370ff"/>
      </w:rPr>
    </w:lvl>
  </w:abstractNum>
  <w:abstractNum w:abstractNumId="1836630">
    <w:lvl>
      <w:numFmt w:val="bullet"/>
      <w:suff w:val="tab"/>
      <w:lvlText w:val="•"/>
      <w:rPr>
        <w:color w:val="3370ff"/>
      </w:rPr>
    </w:lvl>
  </w:abstractNum>
  <w:abstractNum w:abstractNumId="1836631">
    <w:lvl>
      <w:numFmt w:val="bullet"/>
      <w:suff w:val="tab"/>
      <w:lvlText w:val="￮"/>
      <w:rPr>
        <w:color w:val="3370ff"/>
      </w:rPr>
    </w:lvl>
  </w:abstractNum>
  <w:abstractNum w:abstractNumId="1836632">
    <w:lvl>
      <w:numFmt w:val="bullet"/>
      <w:suff w:val="tab"/>
      <w:lvlText w:val="￮"/>
      <w:rPr>
        <w:color w:val="3370ff"/>
      </w:rPr>
    </w:lvl>
  </w:abstractNum>
  <w:abstractNum w:abstractNumId="1836633">
    <w:lvl>
      <w:numFmt w:val="bullet"/>
      <w:suff w:val="tab"/>
      <w:lvlText w:val="￮"/>
      <w:rPr>
        <w:color w:val="3370ff"/>
      </w:rPr>
    </w:lvl>
  </w:abstractNum>
  <w:abstractNum w:abstractNumId="1836634">
    <w:lvl>
      <w:numFmt w:val="bullet"/>
      <w:suff w:val="tab"/>
      <w:lvlText w:val="•"/>
      <w:rPr>
        <w:color w:val="3370ff"/>
      </w:rPr>
    </w:lvl>
  </w:abstractNum>
  <w:abstractNum w:abstractNumId="1836635">
    <w:lvl>
      <w:numFmt w:val="bullet"/>
      <w:suff w:val="tab"/>
      <w:lvlText w:val="•"/>
      <w:rPr>
        <w:color w:val="3370ff"/>
      </w:rPr>
    </w:lvl>
  </w:abstractNum>
  <w:abstractNum w:abstractNumId="1836636">
    <w:lvl>
      <w:numFmt w:val="bullet"/>
      <w:suff w:val="tab"/>
      <w:lvlText w:val="•"/>
      <w:rPr>
        <w:color w:val="3370ff"/>
      </w:rPr>
    </w:lvl>
  </w:abstractNum>
  <w:abstractNum w:abstractNumId="1836637">
    <w:lvl>
      <w:numFmt w:val="bullet"/>
      <w:suff w:val="tab"/>
      <w:lvlText w:val="•"/>
      <w:rPr>
        <w:color w:val="3370ff"/>
      </w:rPr>
    </w:lvl>
  </w:abstractNum>
  <w:num w:numId="1">
    <w:abstractNumId w:val="1836621"/>
  </w:num>
  <w:num w:numId="2">
    <w:abstractNumId w:val="1836622"/>
  </w:num>
  <w:num w:numId="3">
    <w:abstractNumId w:val="1836623"/>
  </w:num>
  <w:num w:numId="4">
    <w:abstractNumId w:val="1836624"/>
  </w:num>
  <w:num w:numId="5">
    <w:abstractNumId w:val="1836625"/>
  </w:num>
  <w:num w:numId="6">
    <w:abstractNumId w:val="1836626"/>
  </w:num>
  <w:num w:numId="7">
    <w:abstractNumId w:val="1836627"/>
  </w:num>
  <w:num w:numId="8">
    <w:abstractNumId w:val="1836628"/>
  </w:num>
  <w:num w:numId="9">
    <w:abstractNumId w:val="1836629"/>
  </w:num>
  <w:num w:numId="10">
    <w:abstractNumId w:val="1836630"/>
  </w:num>
  <w:num w:numId="11">
    <w:abstractNumId w:val="1836631"/>
  </w:num>
  <w:num w:numId="12">
    <w:abstractNumId w:val="1836632"/>
  </w:num>
  <w:num w:numId="13">
    <w:abstractNumId w:val="1836633"/>
  </w:num>
  <w:num w:numId="14">
    <w:abstractNumId w:val="1836634"/>
  </w:num>
  <w:num w:numId="15">
    <w:abstractNumId w:val="1836635"/>
  </w:num>
  <w:num w:numId="16">
    <w:abstractNumId w:val="1836636"/>
  </w:num>
  <w:num w:numId="17">
    <w:abstractNumId w:val="183663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2026-05-05T15:55:11Z</dcterms:created>
  <dc:creator>Apache POI</dc:creator>
</cp:coreProperties>
</file>