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E0E1E">
      <w:pPr>
        <w:spacing w:before="480" w:after="480" w:line="288" w:lineRule="auto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IT服务台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项目</w:t>
      </w:r>
    </w:p>
    <w:p w14:paraId="441D2101">
      <w:pPr>
        <w:spacing w:before="300" w:after="120" w:line="288" w:lineRule="auto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一、方案背景及目标</w:t>
      </w:r>
      <w:bookmarkEnd w:id="0"/>
    </w:p>
    <w:p w14:paraId="2DA4478E">
      <w:pPr>
        <w:spacing w:before="260" w:after="120" w:line="288" w:lineRule="auto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1.1、方案背景</w:t>
      </w:r>
      <w:bookmarkEnd w:id="1"/>
      <w:bookmarkStart w:id="25" w:name="_GoBack"/>
      <w:bookmarkEnd w:id="25"/>
    </w:p>
    <w:p w14:paraId="302A78B0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 随着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端产品（VDI、aTrust、</w:t>
      </w:r>
      <w:r>
        <w:rPr>
          <w:rFonts w:ascii="Arial" w:hAnsi="Arial" w:eastAsia="等线" w:cs="Arial"/>
          <w:shd w:val="clear" w:color="auto" w:fill="FBBFBC"/>
        </w:rPr>
        <w:t>aES等</w:t>
      </w:r>
      <w:r>
        <w:rPr>
          <w:rFonts w:ascii="Arial" w:hAnsi="Arial" w:eastAsia="等线" w:cs="Arial"/>
        </w:rPr>
        <w:t>）在各行业客户场景中的规模化部署，客户 IT 运维正面临 “双重压力”：一方面，端产品覆盖范围广、设备类型杂、故障场景离散，客户现有运维体系缺乏统一的工具支撑，导致故障排查 “靠经验、耗人力”，运维响应效率与业务连续性需求脱节；另一方面，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端产品服务处于 “无专属工具承载” 的状态，服务流程碎片化（如问题上报依赖线下沟通、进度追踪缺乏可视化手段、知识沉淀无体系化平台），既无法快速响应客户运维诉求，也难以将服务能力转化为客户可感知的价值，成为制约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 xml:space="preserve"> “产品 + 服务” 一体化竞争力的关键瓶颈。</w:t>
      </w:r>
    </w:p>
    <w:p w14:paraId="447665CB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企业对 IT 运维的诉求已从 “被动救火” 升级为 “主动保障、价值驱动”，</w:t>
      </w:r>
      <w:r>
        <w:rPr>
          <w:rFonts w:hint="eastAsia" w:ascii="Arial" w:hAnsi="Arial" w:eastAsia="等线" w:cs="Arial"/>
          <w:shd w:val="clear" w:color="auto" w:fill="FFF67A"/>
          <w:lang w:eastAsia="zh-CN"/>
        </w:rPr>
        <w:t>我司</w:t>
      </w:r>
      <w:r>
        <w:rPr>
          <w:rFonts w:ascii="Arial" w:hAnsi="Arial" w:eastAsia="等线" w:cs="Arial"/>
          <w:shd w:val="clear" w:color="auto" w:fill="FFF67A"/>
        </w:rPr>
        <w:t>的中大客户希望厂商提供 “工具 + 服务 + 知识” 的运维平台</w:t>
      </w:r>
      <w:r>
        <w:rPr>
          <w:rFonts w:ascii="Arial" w:hAnsi="Arial" w:eastAsia="等线" w:cs="Arial"/>
        </w:rPr>
        <w:t>，以降低自身 IT 团队的运维负荷。当下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现有端产品服务模式，还无法满足客户对 “故障可预判、问题可追溯、运维可量化” 的高阶需求 。部分客户因缺乏专属工具和知识，端产品故障排查时长超过 4 小时，直接影响业务系统稳定运行，影响了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产品的客户体验。</w:t>
      </w:r>
    </w:p>
    <w:p w14:paraId="7E96F0C6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 建设 IT 服务台，并非单纯的 “补全服务工具缺口”，而是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践行 “以客户为中心” 、赋能客户数字化转型的 “重要举措”。该工具不仅要解决 “端产品服务无载体” 的基础问题，更要通过</w:t>
      </w:r>
      <w:r>
        <w:rPr>
          <w:rFonts w:ascii="Arial" w:hAnsi="Arial" w:eastAsia="等线" w:cs="Arial"/>
          <w:shd w:val="clear" w:color="auto" w:fill="FFF67A"/>
        </w:rPr>
        <w:t xml:space="preserve"> “统一入口、智能排障、知识沉淀、数据可视”</w:t>
      </w:r>
      <w:r>
        <w:rPr>
          <w:rFonts w:ascii="Arial" w:hAnsi="Arial" w:eastAsia="等线" w:cs="Arial"/>
        </w:rPr>
        <w:t xml:space="preserve"> 四大核心能力，为客户构建 “从故障预警到问题闭环” 的全流程运维服务体系：一方面，帮助客户降低 IT 运维压力，将端产品故障处置效率提升 50% 以上，释放客户 IT 团队精力；另一方面，通过工具承载的服务数据与知识资产，推动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端产品服务从 “离散响应” 向 “体系化、智能化” 升级，打造 “产品硬实力 + 服务软实力” 的双重竞争壁垒，实现与客户共成功。</w:t>
      </w:r>
    </w:p>
    <w:p w14:paraId="4090A843">
      <w:pPr>
        <w:spacing w:before="260" w:after="120" w:line="288" w:lineRule="auto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1.2、客户画像</w:t>
      </w:r>
      <w:bookmarkEnd w:id="2"/>
    </w:p>
    <w:p w14:paraId="4CEE7B20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 通过多维度的内外部调研以及多行业客户的需求摸排，根据调研反馈对于央企客户、政府单位是有驻场运维的，通常运维过程是面对面的，超大规模的民企也有自建的ITSM平台，需要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提供“知识库能力”来赋能客户的IT排障，提高运维效率。针对以上调研不难得出结论，确定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  <w:shd w:val="clear" w:color="auto" w:fill="FFF67A"/>
        </w:rPr>
        <w:t xml:space="preserve"> IT 服务台的核心服务对象非国央企属性的泛 KA 客户</w:t>
      </w:r>
      <w:r>
        <w:rPr>
          <w:rFonts w:ascii="Arial" w:hAnsi="Arial" w:eastAsia="等线" w:cs="Arial"/>
        </w:rPr>
        <w:t>。这类客户分布在金融、泛零售、医疗、制造业等领域。</w:t>
      </w:r>
    </w:p>
    <w:p w14:paraId="16159A77">
      <w:pPr>
        <w:spacing w:before="260" w:after="120" w:line="288" w:lineRule="auto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1.3、产品定位</w:t>
      </w:r>
      <w:bookmarkEnd w:id="3"/>
    </w:p>
    <w:p w14:paraId="39518266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</w:t>
      </w:r>
      <w:r>
        <w:rPr>
          <w:rFonts w:ascii="Arial" w:hAnsi="Arial" w:eastAsia="等线" w:cs="Arial"/>
          <w:shd w:val="clear" w:color="auto" w:fill="FFF67A"/>
        </w:rPr>
        <w:t xml:space="preserve">  IT 服务台以 “快速响应、精准服务、全流程高效协同” 为核心目标，定位为便捷、友好且界面统一的企业级 “一站式 IT 服务枢纽”，聚焦 User 侧（终端用户）与 IT 运维侧的双向体验优化</w:t>
      </w:r>
      <w:r>
        <w:rPr>
          <w:rFonts w:ascii="Arial" w:hAnsi="Arial" w:eastAsia="等线" w:cs="Arial"/>
        </w:rPr>
        <w:t>，结合智能服务工具与 知识库赋能，为各类企业（尤其适配大型客户复杂 IT 环境）提供从问题报障、问题解决到运维管理的全闭环支撑，助力企业构建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>产品的敏捷、高效、低门槛的 IT 服务工具。</w:t>
      </w:r>
    </w:p>
    <w:p w14:paraId="1C6C237F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从 User 侧体验出发，产品以 “降低使用门槛” 为核心设计原则，打造 “傻瓜式操作” 交互体系 —— 全程以点击、选择为主的操作逻辑替代传统手动输入，让终端用户能轻松发起服务请求并解决问题；同时，内置一键检测及修复功能，可自动诊断常见故障并完成修复，若遇复杂问题，系统能实时提取问题日志并自动生成标准化问题工单，实现 “问题故障 到自助工单创建” 的无缝衔接，大幅减少用户沟通成本与等待时间，让 IT 服务触达更简单。</w:t>
      </w:r>
    </w:p>
    <w:p w14:paraId="4DCFCFF5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面向 IT 运维侧，产品聚焦 “提升管理效率”，构建全生命周期工单管理体系：提供工单处理跟踪（实时可视化进度）、超期智能提醒（自动触发时效预警）、一键升级流转（跨团队 / 层级协作简化） 等核心功能，帮助运维团队清晰掌控每一张工单的状态、快速响应紧急需求，同时通过标准化流程减少重复操作，降低运维管理复杂度与人力成本，让运维工作从 “被动响应” 转向 “主动服务”。</w:t>
      </w:r>
    </w:p>
    <w:p w14:paraId="1E7B1777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在技术赋能层面，针对大型客户的复杂 IT 环境（多系统、多业务场景、高服务标准），产品采用基于 API 逻辑的知识库赋能方案—— 该方案可实现知识库与企业现有业务系统、运维工具的灵活对接，能根据工单需求快速调用知识库的标准解决方案，既保障问题解决的专业性与一致性，也大幅提升运维团队的响应效率，是当前适配大型客户多样化服务需求、平衡 “效率与质量” 的最优解。</w:t>
      </w:r>
    </w:p>
    <w:p w14:paraId="0F0655CD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 综上，</w:t>
      </w:r>
      <w:r>
        <w:rPr>
          <w:rFonts w:hint="eastAsia" w:ascii="Arial" w:hAnsi="Arial" w:eastAsia="等线" w:cs="Arial"/>
          <w:lang w:eastAsia="zh-CN"/>
        </w:rPr>
        <w:t>我司</w:t>
      </w:r>
      <w:r>
        <w:rPr>
          <w:rFonts w:ascii="Arial" w:hAnsi="Arial" w:eastAsia="等线" w:cs="Arial"/>
        </w:rPr>
        <w:t xml:space="preserve"> IT 服务台通过</w:t>
      </w:r>
      <w:r>
        <w:rPr>
          <w:rFonts w:ascii="Arial" w:hAnsi="Arial" w:eastAsia="等线" w:cs="Arial"/>
          <w:shd w:val="clear" w:color="auto" w:fill="FFF67A"/>
        </w:rPr>
        <w:t xml:space="preserve"> “User 侧简化操作 + 运维侧提效降本 + API 知识库智能赋能”</w:t>
      </w:r>
      <w:r>
        <w:rPr>
          <w:rFonts w:ascii="Arial" w:hAnsi="Arial" w:eastAsia="等线" w:cs="Arial"/>
        </w:rPr>
        <w:t xml:space="preserve"> 的三维定位，打通 IT 服务的 “需求端 - 处理端 - 支撑端” 全链路，不仅为终端用户提供 “零门槛” 的 IT 服务体验，也为运维团队打造 “轻量化” 的管理工具，提升组织整体 IT 服务响应速度与质量。</w:t>
      </w:r>
    </w:p>
    <w:p w14:paraId="560172FE">
      <w:pPr>
        <w:spacing w:before="260" w:after="120" w:line="288" w:lineRule="auto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1.4、客户IT团队核心目标提升</w:t>
      </w:r>
      <w:bookmarkEnd w:id="4"/>
    </w:p>
    <w:p w14:paraId="563AC5C8">
      <w:pPr>
        <w:spacing w:before="120" w:after="120" w:line="288" w:lineRule="auto"/>
      </w:pPr>
      <w:r>
        <w:rPr>
          <w:rFonts w:ascii="Arial" w:hAnsi="Arial" w:eastAsia="等线" w:cs="Arial"/>
        </w:rPr>
        <w:t xml:space="preserve">       以效能升级为核心，依据产品特性及客户运维实践，定义使用IT服务台的一级目标是：运维人员服务比为1:2000，即每2000个端用户配置一名IT运维工程师。依据此目标拆解对应的二级指标。</w:t>
      </w:r>
    </w:p>
    <w:p w14:paraId="7F8A0AFB">
      <w:pPr>
        <w:spacing w:before="240" w:after="120" w:line="288" w:lineRule="auto"/>
        <w:outlineLvl w:val="4"/>
      </w:pPr>
      <w:bookmarkStart w:id="5" w:name="heading_5"/>
      <w:r>
        <w:rPr>
          <w:rFonts w:ascii="Arial" w:hAnsi="Arial" w:eastAsia="等线" w:cs="Arial"/>
          <w:b/>
          <w:sz w:val="24"/>
        </w:rPr>
        <w:t>1.4.1 效率目标</w:t>
      </w:r>
      <w:bookmarkEnd w:id="5"/>
    </w:p>
    <w:p w14:paraId="09E3BB86"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</w:rPr>
        <w:t xml:space="preserve">用户自助排障率：客户侧user自主解决故障拦截率≥70% </w:t>
      </w:r>
    </w:p>
    <w:p w14:paraId="0AE17958">
      <w:pPr>
        <w:numPr>
          <w:ilvl w:val="0"/>
          <w:numId w:val="2"/>
        </w:numPr>
        <w:spacing w:before="120" w:after="120" w:line="288" w:lineRule="auto"/>
      </w:pPr>
      <w:r>
        <w:rPr>
          <w:rFonts w:ascii="Arial" w:hAnsi="Arial" w:eastAsia="等线" w:cs="Arial"/>
        </w:rPr>
        <w:t>IT运维端排障率：运维端通过知识库排障率≥80% （即提交至IT运维中80% 的工单问题可在知识库中找到对应解决方案）</w:t>
      </w:r>
    </w:p>
    <w:p w14:paraId="0B8BC880">
      <w:pPr>
        <w:spacing w:before="240" w:after="120" w:line="288" w:lineRule="auto"/>
        <w:outlineLvl w:val="4"/>
      </w:pPr>
      <w:bookmarkStart w:id="6" w:name="heading_6"/>
      <w:r>
        <w:rPr>
          <w:rFonts w:ascii="Arial" w:hAnsi="Arial" w:eastAsia="等线" w:cs="Arial"/>
          <w:b/>
          <w:sz w:val="24"/>
        </w:rPr>
        <w:t>1.4.2 体验目标</w:t>
      </w:r>
      <w:bookmarkEnd w:id="6"/>
    </w:p>
    <w:p w14:paraId="729AD8C3">
      <w:pPr>
        <w:numPr>
          <w:ilvl w:val="0"/>
          <w:numId w:val="3"/>
        </w:numPr>
        <w:spacing w:before="120" w:after="120" w:line="288" w:lineRule="auto"/>
      </w:pPr>
      <w:r>
        <w:rPr>
          <w:rFonts w:ascii="Arial" w:hAnsi="Arial" w:eastAsia="等线" w:cs="Arial"/>
        </w:rPr>
        <w:t>用户自助覆盖率：使用IT服务台终端自助服务的用户占比≥90%</w:t>
      </w:r>
    </w:p>
    <w:p w14:paraId="688B8432">
      <w:pPr>
        <w:numPr>
          <w:ilvl w:val="0"/>
          <w:numId w:val="4"/>
        </w:numPr>
        <w:spacing w:before="120" w:after="120" w:line="288" w:lineRule="auto"/>
      </w:pPr>
      <w:r>
        <w:rPr>
          <w:rFonts w:ascii="Arial" w:hAnsi="Arial" w:eastAsia="等线" w:cs="Arial"/>
        </w:rPr>
        <w:t>流程透明度：100% 的工单支持实时进度查询，处理节点与责任人可视化</w:t>
      </w:r>
    </w:p>
    <w:p w14:paraId="6BA4F7D7">
      <w:pPr>
        <w:spacing w:before="240" w:after="120" w:line="288" w:lineRule="auto"/>
        <w:outlineLvl w:val="4"/>
      </w:pPr>
      <w:bookmarkStart w:id="7" w:name="heading_7"/>
      <w:r>
        <w:rPr>
          <w:rFonts w:ascii="Arial" w:hAnsi="Arial" w:eastAsia="等线" w:cs="Arial"/>
          <w:b/>
          <w:sz w:val="24"/>
        </w:rPr>
        <w:t>1.4.3 管理目标</w:t>
      </w:r>
      <w:bookmarkEnd w:id="7"/>
    </w:p>
    <w:p w14:paraId="2B079E17">
      <w:pPr>
        <w:numPr>
          <w:ilvl w:val="0"/>
          <w:numId w:val="5"/>
        </w:numPr>
        <w:spacing w:before="120" w:after="120" w:line="288" w:lineRule="auto"/>
      </w:pPr>
      <w:r>
        <w:rPr>
          <w:rFonts w:ascii="Arial" w:hAnsi="Arial" w:eastAsia="等线" w:cs="Arial"/>
        </w:rPr>
        <w:t>数据可视化：构建覆盖 “服务质量、团队效率” 的核心指标仪表盘</w:t>
      </w:r>
    </w:p>
    <w:p w14:paraId="60DACCD6">
      <w:pPr>
        <w:spacing w:before="300" w:after="120" w:line="288" w:lineRule="auto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二、用户角色与场景分析（核心用户角色、场景业务流程）</w:t>
      </w:r>
      <w:bookmarkEnd w:id="8"/>
    </w:p>
    <w:p w14:paraId="4095A78D">
      <w:pPr>
        <w:spacing w:before="260" w:after="120" w:line="288" w:lineRule="auto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2.1、核心用户角色</w:t>
      </w:r>
      <w:bookmarkEnd w:id="9"/>
    </w:p>
    <w:p w14:paraId="14220FFD">
      <w:pPr>
        <w:spacing w:before="240" w:after="120" w:line="288" w:lineRule="auto"/>
        <w:outlineLvl w:val="4"/>
      </w:pPr>
      <w:bookmarkStart w:id="10" w:name="heading_10"/>
      <w:r>
        <w:rPr>
          <w:rFonts w:ascii="Arial" w:hAnsi="Arial" w:eastAsia="等线" w:cs="Arial"/>
          <w:b/>
          <w:sz w:val="24"/>
        </w:rPr>
        <w:t>2.1.1 终端用户（user）</w:t>
      </w:r>
      <w:bookmarkEnd w:id="10"/>
    </w:p>
    <w:p w14:paraId="38FBCC93">
      <w:pPr>
        <w:numPr>
          <w:ilvl w:val="0"/>
          <w:numId w:val="6"/>
        </w:numPr>
        <w:spacing w:before="120" w:after="120" w:line="288" w:lineRule="auto"/>
      </w:pPr>
      <w:r>
        <w:rPr>
          <w:rFonts w:ascii="Arial" w:hAnsi="Arial" w:eastAsia="等线" w:cs="Arial"/>
        </w:rPr>
        <w:t>核心诉求：快速解决使用问题（如虚拟桌面卡顿、电脑卡顿、登录失败、资源扩充、密码修改等），操作流程简单，最好自助解决，不能自助解决的可以提交工单，无需反复沟通确认。</w:t>
      </w:r>
    </w:p>
    <w:p w14:paraId="16F431F9">
      <w:pPr>
        <w:numPr>
          <w:ilvl w:val="0"/>
          <w:numId w:val="7"/>
        </w:numPr>
        <w:spacing w:before="120" w:after="120" w:line="288" w:lineRule="auto"/>
      </w:pPr>
      <w:r>
        <w:rPr>
          <w:rFonts w:ascii="Arial" w:hAnsi="Arial" w:eastAsia="等线" w:cs="Arial"/>
        </w:rPr>
        <w:t>典型痛点：经常出问题也不知道怎么解决，需要经常找IT来解决问题，遇到问题爆发期提交问题的跟进处理也很繁琐、同类问题需多次咨询。</w:t>
      </w:r>
    </w:p>
    <w:p w14:paraId="7C832643">
      <w:pPr>
        <w:spacing w:before="240" w:after="120" w:line="288" w:lineRule="auto"/>
        <w:outlineLvl w:val="4"/>
      </w:pPr>
      <w:bookmarkStart w:id="11" w:name="heading_11"/>
      <w:r>
        <w:rPr>
          <w:rFonts w:ascii="Arial" w:hAnsi="Arial" w:eastAsia="等线" w:cs="Arial"/>
          <w:b/>
          <w:sz w:val="24"/>
        </w:rPr>
        <w:t>2.1.2 IT 工程师</w:t>
      </w:r>
      <w:bookmarkEnd w:id="11"/>
    </w:p>
    <w:p w14:paraId="6A752227">
      <w:pPr>
        <w:numPr>
          <w:ilvl w:val="0"/>
          <w:numId w:val="8"/>
        </w:numPr>
        <w:spacing w:before="120" w:after="120" w:line="288" w:lineRule="auto"/>
      </w:pPr>
      <w:r>
        <w:rPr>
          <w:rFonts w:ascii="Arial" w:hAnsi="Arial" w:eastAsia="等线" w:cs="Arial"/>
        </w:rPr>
        <w:t>核心诉求：拥有自助排障的能力，至少能拦截60%～70%的故障；用户单提交的工单可以按照能力及责任进行分配，防止反复沟通带来的成本增加；有成熟的解决方案知识库可查询，快速解决问题，减少无效沟通；</w:t>
      </w:r>
    </w:p>
    <w:p w14:paraId="7E637B9E">
      <w:pPr>
        <w:numPr>
          <w:ilvl w:val="0"/>
          <w:numId w:val="9"/>
        </w:numPr>
        <w:spacing w:before="120" w:after="120" w:line="288" w:lineRule="auto"/>
      </w:pPr>
      <w:r>
        <w:rPr>
          <w:rFonts w:ascii="Arial" w:hAnsi="Arial" w:eastAsia="等线" w:cs="Arial"/>
        </w:rPr>
        <w:t>典型痛点：用户问题描述不清楚，也没有系统的问题日志，需反复追问用户，沟通成本高且时间长，用户满意度低；同类问题经常发生，无解决方案积累；遇到不常见的问题需要多方协调，无法快速定位用户问题；</w:t>
      </w:r>
    </w:p>
    <w:p w14:paraId="3E32A288">
      <w:pPr>
        <w:spacing w:before="240" w:after="120" w:line="288" w:lineRule="auto"/>
        <w:outlineLvl w:val="4"/>
      </w:pPr>
      <w:bookmarkStart w:id="12" w:name="heading_12"/>
      <w:r>
        <w:rPr>
          <w:rFonts w:ascii="Arial" w:hAnsi="Arial" w:eastAsia="等线" w:cs="Arial"/>
          <w:b/>
          <w:sz w:val="24"/>
        </w:rPr>
        <w:t>2.1.3 IT 管理员（服务台负责人）</w:t>
      </w:r>
      <w:bookmarkEnd w:id="12"/>
    </w:p>
    <w:p w14:paraId="307402AB">
      <w:pPr>
        <w:numPr>
          <w:ilvl w:val="0"/>
          <w:numId w:val="10"/>
        </w:numPr>
        <w:spacing w:before="120" w:after="120" w:line="288" w:lineRule="auto"/>
      </w:pPr>
      <w:r>
        <w:rPr>
          <w:rFonts w:ascii="Arial" w:hAnsi="Arial" w:eastAsia="等线" w:cs="Arial"/>
        </w:rPr>
        <w:t>核心诉求：实时掌握服务质量；识别团队瓶颈；为 IT 资源调整提供数据支撑；</w:t>
      </w:r>
    </w:p>
    <w:p w14:paraId="571923E6">
      <w:pPr>
        <w:numPr>
          <w:ilvl w:val="0"/>
          <w:numId w:val="11"/>
        </w:numPr>
        <w:spacing w:before="120" w:after="120" w:line="288" w:lineRule="auto"/>
      </w:pPr>
      <w:r>
        <w:rPr>
          <w:rFonts w:ascii="Arial" w:hAnsi="Arial" w:eastAsia="等线" w:cs="Arial"/>
        </w:rPr>
        <w:t>典型痛点：需手动统计运维数据制作报表；无法快速定位低效环节（如某工程师处理时长异常）；高频故障无预警机制；</w:t>
      </w:r>
    </w:p>
    <w:p w14:paraId="65ABF7FA">
      <w:pPr>
        <w:spacing w:before="260" w:after="120" w:line="288" w:lineRule="auto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2.2、场景业务流程</w:t>
      </w:r>
      <w:bookmarkEnd w:id="13"/>
    </w:p>
    <w:p w14:paraId="23CA2BB9">
      <w:pPr>
        <w:numPr>
          <w:ilvl w:val="0"/>
          <w:numId w:val="12"/>
        </w:numPr>
        <w:spacing w:before="120" w:after="120" w:line="288" w:lineRule="auto"/>
      </w:pPr>
      <w:r>
        <w:rPr>
          <w:rFonts w:ascii="Arial" w:hAnsi="Arial" w:eastAsia="等线" w:cs="Arial"/>
        </w:rPr>
        <w:t>user端自处理及报障流程</w:t>
      </w:r>
    </w:p>
    <w:p w14:paraId="36FDC076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故障处理</w:t>
      </w:r>
    </w:p>
    <w:p w14:paraId="20485261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819150"/>
            <wp:effectExtent l="0" t="0" r="0" b="3810"/>
            <wp:docPr id="2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D8B1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问题咨询</w:t>
      </w:r>
    </w:p>
    <w:p w14:paraId="5222382F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066800"/>
            <wp:effectExtent l="0" t="0" r="0" b="0"/>
            <wp:docPr id="5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409">
      <w:pPr>
        <w:numPr>
          <w:ilvl w:val="0"/>
          <w:numId w:val="15"/>
        </w:numPr>
        <w:spacing w:before="120" w:after="120" w:line="288" w:lineRule="auto"/>
      </w:pPr>
      <w:r>
        <w:rPr>
          <w:rFonts w:ascii="Arial" w:hAnsi="Arial" w:eastAsia="等线" w:cs="Arial"/>
        </w:rPr>
        <w:t>IT工程师工单处理流程</w:t>
      </w:r>
    </w:p>
    <w:p w14:paraId="3C1A8B7F">
      <w:pPr>
        <w:spacing w:before="120" w:after="120" w:line="288" w:lineRule="auto"/>
      </w:pPr>
      <w:r>
        <w:rPr>
          <w:rFonts w:ascii="Arial" w:hAnsi="Arial" w:eastAsia="等线" w:cs="Arial"/>
        </w:rPr>
        <w:t>问题处理</w:t>
      </w:r>
    </w:p>
    <w:p w14:paraId="1823A8A9">
      <w:pPr>
        <w:spacing w:before="120" w:after="120" w:line="288" w:lineRule="auto"/>
        <w:jc w:val="center"/>
      </w:pPr>
      <w:r>
        <w:drawing>
          <wp:inline distT="0" distB="0" distL="0" distR="0">
            <wp:extent cx="5257800" cy="1143000"/>
            <wp:effectExtent l="0" t="0" r="0" b="0"/>
            <wp:docPr id="8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A11A">
      <w:pPr>
        <w:numPr>
          <w:ilvl w:val="0"/>
          <w:numId w:val="16"/>
        </w:numPr>
        <w:spacing w:before="120" w:after="120" w:line="288" w:lineRule="auto"/>
      </w:pPr>
      <w:r>
        <w:rPr>
          <w:rFonts w:ascii="Arial" w:hAnsi="Arial" w:eastAsia="等线" w:cs="Arial"/>
        </w:rPr>
        <w:t>IT管理员运维管理流程</w:t>
      </w:r>
    </w:p>
    <w:p w14:paraId="3AD75776">
      <w:pPr>
        <w:spacing w:before="120" w:after="120" w:line="288" w:lineRule="auto"/>
      </w:pPr>
      <w:r>
        <w:rPr>
          <w:rFonts w:ascii="Arial" w:hAnsi="Arial" w:eastAsia="等线" w:cs="Arial"/>
        </w:rPr>
        <w:t>服务监督流程</w:t>
      </w:r>
    </w:p>
    <w:p w14:paraId="2D1052E2">
      <w:pPr>
        <w:spacing w:before="120" w:after="120" w:line="288" w:lineRule="auto"/>
        <w:jc w:val="center"/>
      </w:pPr>
      <w:r>
        <w:drawing>
          <wp:inline distT="0" distB="0" distL="0" distR="0">
            <wp:extent cx="5257800" cy="771525"/>
            <wp:effectExtent l="0" t="0" r="0" b="5715"/>
            <wp:docPr id="11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097E">
      <w:pPr>
        <w:spacing w:before="300" w:after="120" w:line="288" w:lineRule="auto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三、产品功能设计（终端自助服务、工单管理、知识库、数据分析与决策）</w:t>
      </w:r>
      <w:bookmarkEnd w:id="14"/>
    </w:p>
    <w:p w14:paraId="405E5C3B">
      <w:pPr>
        <w:spacing w:before="260" w:after="120" w:line="288" w:lineRule="auto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3.1、终端自助服务模块</w:t>
      </w:r>
      <w:bookmarkEnd w:id="15"/>
    </w:p>
    <w:p w14:paraId="74963C1E">
      <w:pPr>
        <w:spacing w:before="260" w:after="120" w:line="288" w:lineRule="auto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3.1.1 核心功能</w:t>
      </w:r>
      <w:bookmarkEnd w:id="16"/>
    </w:p>
    <w:p w14:paraId="69C31B86">
      <w:pPr>
        <w:numPr>
          <w:ilvl w:val="0"/>
          <w:numId w:val="17"/>
        </w:numPr>
        <w:spacing w:before="120" w:after="120" w:line="288" w:lineRule="auto"/>
      </w:pPr>
      <w:r>
        <w:rPr>
          <w:rFonts w:ascii="Arial" w:hAnsi="Arial" w:eastAsia="等线" w:cs="Arial"/>
        </w:rPr>
        <w:t>智能问答（7×24 小时）</w:t>
      </w:r>
    </w:p>
    <w:p w14:paraId="28C74061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自助排障：提供一键检测功能，检测完毕后按照提示完成自助排障</w:t>
      </w:r>
    </w:p>
    <w:p w14:paraId="202601F7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支持文字问答的FAQ交互，覆盖 70% 的常见问题（如 “密码重置”“常见问题TOP10”“资源扩容”等）</w:t>
      </w:r>
    </w:p>
    <w:p w14:paraId="6DFFE097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无法解答时自动引导至 “自助工单”，并同步用户已描述的问题，避免重复输入，如果是故障则自动提取问题日志、设备信息、软件版本等</w:t>
      </w:r>
    </w:p>
    <w:p w14:paraId="1272DE6A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支持问题处理评价功能：用户可对智能问答打分（“有用 / 无用”），后台根据反馈优化解决方案知识库。用户可对工单处理的满意度进行评价或者点赞</w:t>
      </w:r>
    </w:p>
    <w:p w14:paraId="44A2804E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支持高频问题故障识别：对于产品产生的高频问题，后台根据监控跟踪，给用户进行故障预测提示，例如建议重启客户端或者增加资源。</w:t>
      </w:r>
    </w:p>
    <w:p w14:paraId="11A2DB84">
      <w:pPr>
        <w:numPr>
          <w:ilvl w:val="0"/>
          <w:numId w:val="23"/>
        </w:numPr>
        <w:spacing w:before="120" w:after="120" w:line="288" w:lineRule="auto"/>
      </w:pPr>
      <w:r>
        <w:rPr>
          <w:rFonts w:ascii="Arial" w:hAnsi="Arial" w:eastAsia="等线" w:cs="Arial"/>
        </w:rPr>
        <w:t>工单自助提交</w:t>
      </w:r>
    </w:p>
    <w:p w14:paraId="5B312EE2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简化提交表单：默认填充用户姓名、部门（从产品管理后台同步），产品版本信息自动提取，用户仅需选择 “问题类型”“紧急程度” 并简要描述问题</w:t>
      </w:r>
    </w:p>
    <w:p w14:paraId="2CFD901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附件上传支持：用户可上传问题截图，帮助工程师快速定位问题</w:t>
      </w:r>
    </w:p>
    <w:p w14:paraId="3C3AA3B1">
      <w:pPr>
        <w:numPr>
          <w:ilvl w:val="0"/>
          <w:numId w:val="26"/>
        </w:numPr>
        <w:spacing w:before="120" w:after="120" w:line="288" w:lineRule="auto"/>
      </w:pPr>
      <w:r>
        <w:rPr>
          <w:rFonts w:ascii="Arial" w:hAnsi="Arial" w:eastAsia="等线" w:cs="Arial"/>
        </w:rPr>
        <w:t>工单进度查询</w:t>
      </w:r>
    </w:p>
    <w:p w14:paraId="2D7297FA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展示 “我的工单” 列表，按 “处理中”“已解决”“已关闭” 分类，支持按时间排序</w:t>
      </w:r>
    </w:p>
    <w:p w14:paraId="7A3337D1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点击工单可查看详细进度：当前处理人、已完成节点（如 “工单提交→派单成功→工程师接单→问题解决”）、预计完成时间</w:t>
      </w:r>
    </w:p>
    <w:p w14:paraId="12DA8581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进度通知：工单状态变更时（如 “工程师已接单”“问题已解决”），通过端产品推送提醒</w:t>
      </w:r>
    </w:p>
    <w:p w14:paraId="5D0B855C">
      <w:pPr>
        <w:numPr>
          <w:ilvl w:val="0"/>
          <w:numId w:val="30"/>
        </w:numPr>
        <w:spacing w:before="120" w:after="120" w:line="288" w:lineRule="auto"/>
      </w:pPr>
      <w:r>
        <w:rPr>
          <w:rFonts w:ascii="Arial" w:hAnsi="Arial" w:eastAsia="等线" w:cs="Arial"/>
        </w:rPr>
        <w:t>服务目录与常见问题定义</w:t>
      </w:r>
    </w:p>
    <w:p w14:paraId="607142D0">
      <w:pPr>
        <w:numPr>
          <w:ilvl w:val="0"/>
          <w:numId w:val="31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服务目录：按 “服务类型” 展示所有 IT 支持服务，标注 “权限申请”“资源申请”等，支持自定义服务并可链接工单。</w:t>
      </w:r>
    </w:p>
    <w:p w14:paraId="7F4B8BB4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常见问题（FAQ）：按 “高频问题”“新员工指南”“系统操作” 分类，支持常见问题的自定义</w:t>
      </w:r>
    </w:p>
    <w:p w14:paraId="2F9DB0D2">
      <w:pPr>
        <w:spacing w:before="260" w:after="120" w:line="288" w:lineRule="auto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3.1.2 交互设计</w:t>
      </w:r>
      <w:bookmarkEnd w:id="17"/>
    </w:p>
    <w:p w14:paraId="39DCCEC6">
      <w:pPr>
        <w:numPr>
          <w:ilvl w:val="0"/>
          <w:numId w:val="33"/>
        </w:numPr>
        <w:spacing w:before="120" w:after="120" w:line="288" w:lineRule="auto"/>
      </w:pPr>
      <w:r>
        <w:rPr>
          <w:rFonts w:ascii="Arial" w:hAnsi="Arial" w:eastAsia="等线" w:cs="Arial"/>
        </w:rPr>
        <w:t>采用 “一键排障+ 自助工单 +工单查询” 布局，按钮突出显示，user在没有进行一键排障操作之前，自助工单为灰色不可点击。</w:t>
      </w:r>
    </w:p>
    <w:p w14:paraId="4B0B21FF">
      <w:pPr>
        <w:numPr>
          <w:ilvl w:val="0"/>
          <w:numId w:val="34"/>
        </w:numPr>
        <w:spacing w:before="120" w:after="120" w:line="288" w:lineRule="auto"/>
      </w:pPr>
      <w:r>
        <w:rPr>
          <w:rFonts w:ascii="Arial" w:hAnsi="Arial" w:eastAsia="等线" w:cs="Arial"/>
        </w:rPr>
        <w:t>用户进行“一键排障”操作及自助搜索之后，自助工单按钮高亮且搜索答案框内可发起“自助工单”</w:t>
      </w:r>
    </w:p>
    <w:p w14:paraId="3EF82C14">
      <w:pPr>
        <w:numPr>
          <w:ilvl w:val="0"/>
          <w:numId w:val="35"/>
        </w:numPr>
        <w:spacing w:before="120" w:after="120" w:line="288" w:lineRule="auto"/>
      </w:pPr>
      <w:r>
        <w:rPr>
          <w:rFonts w:ascii="Arial" w:hAnsi="Arial" w:eastAsia="等线" w:cs="Arial"/>
        </w:rPr>
        <w:t>新用户引导：首次访问时弹出 3 步引导（“1. 找答案用智能问答 2. 提问题点自助工单 3. 查进度看工单查询”）</w:t>
      </w:r>
    </w:p>
    <w:p w14:paraId="164EC7BA">
      <w:pPr>
        <w:spacing w:before="120" w:after="120" w:line="288" w:lineRule="auto"/>
        <w:jc w:val="center"/>
      </w:pPr>
      <w:r>
        <w:drawing>
          <wp:inline distT="0" distB="0" distL="0" distR="0">
            <wp:extent cx="5257800" cy="3162300"/>
            <wp:effectExtent l="0" t="0" r="0" b="7620"/>
            <wp:docPr id="1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1FB8">
      <w:pPr>
        <w:spacing w:before="120" w:after="120" w:line="288" w:lineRule="auto"/>
        <w:jc w:val="center"/>
      </w:pPr>
      <w:r>
        <w:drawing>
          <wp:inline distT="0" distB="0" distL="0" distR="0">
            <wp:extent cx="5257800" cy="4429125"/>
            <wp:effectExtent l="0" t="0" r="0" b="5715"/>
            <wp:docPr id="17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6C78">
      <w:pPr>
        <w:spacing w:before="120" w:after="120" w:line="288" w:lineRule="auto"/>
      </w:pPr>
    </w:p>
    <w:p w14:paraId="3F1CB396">
      <w:pPr>
        <w:spacing w:before="120" w:after="120" w:line="288" w:lineRule="auto"/>
        <w:jc w:val="center"/>
      </w:pPr>
      <w:r>
        <w:drawing>
          <wp:inline distT="0" distB="0" distL="0" distR="0">
            <wp:extent cx="5257800" cy="1952625"/>
            <wp:effectExtent l="0" t="0" r="0" b="13335"/>
            <wp:docPr id="20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DFF">
      <w:pPr>
        <w:spacing w:before="260" w:after="120" w:line="288" w:lineRule="auto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3.2、工单管理模块</w:t>
      </w:r>
      <w:bookmarkEnd w:id="18"/>
    </w:p>
    <w:p w14:paraId="4339DE82">
      <w:pPr>
        <w:spacing w:before="260" w:after="120" w:line="288" w:lineRule="auto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3.2.1 核心功能</w:t>
      </w:r>
      <w:bookmarkEnd w:id="19"/>
    </w:p>
    <w:p w14:paraId="3D62EF20">
      <w:pPr>
        <w:numPr>
          <w:ilvl w:val="0"/>
          <w:numId w:val="36"/>
        </w:numPr>
        <w:spacing w:before="120" w:after="120" w:line="288" w:lineRule="auto"/>
      </w:pPr>
      <w:r>
        <w:rPr>
          <w:rFonts w:ascii="Arial" w:hAnsi="Arial" w:eastAsia="等线" w:cs="Arial"/>
        </w:rPr>
        <w:t>智能派单引擎</w:t>
      </w:r>
    </w:p>
    <w:p w14:paraId="60E7B8C7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派单规则设置：基于系统设置的人员数量轮巡依次派单</w:t>
      </w:r>
    </w:p>
    <w:p w14:paraId="001C8C84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人工干预支持：运维管理员可手动调整派单，并记录调整原因</w:t>
      </w:r>
    </w:p>
    <w:p w14:paraId="16B62A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hAnsi="Arial" w:eastAsia="等线" w:cs="Arial"/>
        </w:rPr>
        <w:t>工单处理工作台</w:t>
      </w:r>
    </w:p>
    <w:p w14:paraId="42296470">
      <w:pPr>
        <w:numPr>
          <w:ilvl w:val="0"/>
          <w:numId w:val="40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工程师首页展示 “待处理”“处理中”“待确认” 工单列表，支持按 “紧急程度”“创建时间” 排序</w:t>
      </w:r>
    </w:p>
    <w:p w14:paraId="3FA468F1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工单详情页：展示用户信息、问题描述、附件、历史沟通记录，提供 “处理备注” 输入框（仅团队内部可见）</w:t>
      </w:r>
    </w:p>
    <w:p w14:paraId="05CDFF7C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解决方案搜索：可在工单处置页面进行问题的搜索，利用知识库内的解决方案处置问题</w:t>
      </w:r>
    </w:p>
    <w:p w14:paraId="69F80513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问题类型：问题类型由IT服务工程师填写，为必填项</w:t>
      </w:r>
    </w:p>
    <w:p w14:paraId="6B5E47EE">
      <w:pPr>
        <w:numPr>
          <w:ilvl w:val="0"/>
          <w:numId w:val="44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处理操作按钮：</w:t>
      </w:r>
    </w:p>
    <w:p w14:paraId="7B86EEC9">
      <w:pPr>
        <w:numPr>
          <w:ilvl w:val="0"/>
          <w:numId w:val="45"/>
        </w:numPr>
        <w:spacing w:before="120" w:after="120" w:line="288" w:lineRule="auto"/>
        <w:ind w:left="907"/>
      </w:pPr>
      <w:r>
        <w:rPr>
          <w:rFonts w:ascii="Arial" w:hAnsi="Arial" w:eastAsia="等线" w:cs="Arial"/>
        </w:rPr>
        <w:t>“接单”：确认开始处理，同步通知用户</w:t>
      </w:r>
    </w:p>
    <w:p w14:paraId="1C2D3ABB">
      <w:pPr>
        <w:numPr>
          <w:ilvl w:val="0"/>
          <w:numId w:val="46"/>
        </w:numPr>
        <w:spacing w:before="120" w:after="120" w:line="288" w:lineRule="auto"/>
        <w:ind w:left="907"/>
      </w:pPr>
      <w:r>
        <w:rPr>
          <w:rFonts w:ascii="Arial" w:hAnsi="Arial" w:eastAsia="等线" w:cs="Arial"/>
        </w:rPr>
        <w:t>“转单”：无法处理时（如技能不匹配），选择转单对象并填写转单理由</w:t>
      </w:r>
    </w:p>
    <w:p w14:paraId="09B0B2B8">
      <w:pPr>
        <w:numPr>
          <w:ilvl w:val="0"/>
          <w:numId w:val="47"/>
        </w:numPr>
        <w:spacing w:before="120" w:after="120" w:line="288" w:lineRule="auto"/>
        <w:ind w:left="907"/>
      </w:pPr>
      <w:r>
        <w:rPr>
          <w:rFonts w:ascii="Arial" w:hAnsi="Arial" w:eastAsia="等线" w:cs="Arial"/>
        </w:rPr>
        <w:t>“解决”：提交解决方案，同步发送给用户确认</w:t>
      </w:r>
    </w:p>
    <w:p w14:paraId="4156FBDF">
      <w:pPr>
        <w:numPr>
          <w:ilvl w:val="0"/>
          <w:numId w:val="48"/>
        </w:numPr>
        <w:spacing w:before="120" w:after="120" w:line="288" w:lineRule="auto"/>
        <w:ind w:left="907"/>
      </w:pPr>
      <w:r>
        <w:rPr>
          <w:rFonts w:ascii="Arial" w:hAnsi="Arial" w:eastAsia="等线" w:cs="Arial"/>
        </w:rPr>
        <w:t>“关闭”：用户确认解决或问题超出支持范围时关闭工单</w:t>
      </w:r>
    </w:p>
    <w:p w14:paraId="503A53AA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按钮转换逻辑：点击“接单”后“转单”、“解决”、“关闭”高亮可操作；点击“转单”后“接单”、“解决”、“关闭”置灰色不可操作；点击“解决”后“接单”、“解决”置灰色不可操作，“关闭”高亮可操作；点击“关闭”后“接单”、“解决”置灰色不可操作，原位置按钮变成“打开”高亮可操作；</w:t>
      </w:r>
    </w:p>
    <w:p w14:paraId="3FFEE1A1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工单转知识库：支持对工单中的问题解决方案转入知识库，自动判断是否有类似问题并显示告知，由IT运维管理人员确认是否转入</w:t>
      </w:r>
    </w:p>
    <w:p w14:paraId="5FBDE443">
      <w:pPr>
        <w:numPr>
          <w:ilvl w:val="0"/>
          <w:numId w:val="51"/>
        </w:numPr>
        <w:spacing w:before="120" w:after="120" w:line="288" w:lineRule="auto"/>
      </w:pPr>
      <w:r>
        <w:rPr>
          <w:rFonts w:ascii="Arial" w:hAnsi="Arial" w:eastAsia="等线" w:cs="Arial"/>
        </w:rPr>
        <w:t>工单归档与检索</w:t>
      </w:r>
    </w:p>
    <w:p w14:paraId="045F5D0D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工单自动归档：关闭后按 “年份 - 月份 - 问题类型” 分类存储，保留所有记录（用户信息、处理过程、解决方案）</w:t>
      </w:r>
    </w:p>
    <w:p w14:paraId="22BFA48C">
      <w:pPr>
        <w:numPr>
          <w:ilvl w:val="0"/>
          <w:numId w:val="53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检索功能：支持按 “工单编号、用户姓名、问题关键词、处理人、时间范围” 多条件搜索，检索结果展示核心信息（工单状态、创建时间、处理人）</w:t>
      </w:r>
    </w:p>
    <w:p w14:paraId="70FEC774">
      <w:pPr>
        <w:spacing w:before="120" w:after="120" w:line="288" w:lineRule="auto"/>
        <w:jc w:val="center"/>
      </w:pPr>
      <w:r>
        <w:drawing>
          <wp:inline distT="0" distB="0" distL="0" distR="0">
            <wp:extent cx="5257800" cy="2676525"/>
            <wp:effectExtent l="0" t="0" r="0" b="5715"/>
            <wp:docPr id="23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670">
      <w:pPr>
        <w:spacing w:before="120" w:after="120" w:line="288" w:lineRule="auto"/>
        <w:jc w:val="center"/>
      </w:pPr>
      <w:r>
        <w:drawing>
          <wp:inline distT="0" distB="0" distL="0" distR="0">
            <wp:extent cx="5257800" cy="1952625"/>
            <wp:effectExtent l="0" t="0" r="0" b="13335"/>
            <wp:docPr id="26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558B">
      <w:pPr>
        <w:spacing w:before="260" w:after="120" w:line="288" w:lineRule="auto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3.3、知识库模块</w:t>
      </w:r>
      <w:bookmarkEnd w:id="20"/>
    </w:p>
    <w:p w14:paraId="0B8E1549">
      <w:pPr>
        <w:spacing w:before="260" w:after="120" w:line="288" w:lineRule="auto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3.3.1 核心功能</w:t>
      </w:r>
      <w:bookmarkEnd w:id="21"/>
    </w:p>
    <w:p w14:paraId="477D006E">
      <w:pPr>
        <w:numPr>
          <w:ilvl w:val="0"/>
          <w:numId w:val="54"/>
        </w:numPr>
        <w:spacing w:before="120" w:after="120" w:line="288" w:lineRule="auto"/>
      </w:pPr>
      <w:r>
        <w:rPr>
          <w:rFonts w:ascii="Arial" w:hAnsi="Arial" w:eastAsia="等线" w:cs="Arial"/>
        </w:rPr>
        <w:t>知识库内容结构</w:t>
      </w:r>
    </w:p>
    <w:p w14:paraId="012181B0">
      <w:pPr>
        <w:numPr>
          <w:ilvl w:val="0"/>
          <w:numId w:val="55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标准化模板：每个知识条目包含 “问题标题、问题现象、适用场景、原因分析、解决方案（步骤化）、关联工单、使用对象”6个字段，使用对象是为区分本知识条目用户为IT运维人员还是user，初始化知识库时部分字段可质空，如：“关联工单”。</w:t>
      </w:r>
    </w:p>
    <w:p w14:paraId="42796603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分类体系：按 “设备维护”“软件故障”“系统配置”“权限管理”“故障排查” 等 大类划分，大类支持自定义，每类可下设子分类，最多不超过三级</w:t>
      </w:r>
    </w:p>
    <w:p w14:paraId="674A11E9">
      <w:pPr>
        <w:numPr>
          <w:ilvl w:val="0"/>
          <w:numId w:val="57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知识条目修改：自定义的知识条目允许修改，修改时标注 “更新人、更新时间、更新原因”</w:t>
      </w:r>
    </w:p>
    <w:p w14:paraId="1C6A37D7">
      <w:pPr>
        <w:numPr>
          <w:ilvl w:val="0"/>
          <w:numId w:val="58"/>
        </w:numPr>
        <w:spacing w:before="120" w:after="120" w:line="288" w:lineRule="auto"/>
      </w:pPr>
      <w:r>
        <w:rPr>
          <w:rFonts w:ascii="Arial" w:hAnsi="Arial" w:eastAsia="等线" w:cs="Arial"/>
        </w:rPr>
        <w:t>知识检索与复用</w:t>
      </w:r>
    </w:p>
    <w:p w14:paraId="07F410A9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多维度检索：支持 “关键词搜索”（匹配标题 / 内容）、“分类导航”（按大类→子分类筛选）、</w:t>
      </w:r>
      <w:r>
        <w:rPr>
          <w:rFonts w:ascii="Arial" w:hAnsi="Arial" w:eastAsia="等线" w:cs="Arial"/>
          <w:shd w:val="clear" w:color="auto" w:fill="B7EDB1"/>
        </w:rPr>
        <w:t>“热门推荐”（展示近 30 天访问量 TOP10 的知识）</w:t>
      </w:r>
    </w:p>
    <w:p w14:paraId="52E14047">
      <w:pPr>
        <w:numPr>
          <w:ilvl w:val="0"/>
          <w:numId w:val="60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工程师端关联推荐：处理工单时，系统自动推荐与当前工单 “问题类型” 匹配的知识条目</w:t>
      </w:r>
    </w:p>
    <w:p w14:paraId="2B1BAA51">
      <w:pPr>
        <w:numPr>
          <w:ilvl w:val="0"/>
          <w:numId w:val="61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用户端嵌入：自助门户的 FAQ 模块直接调用知识库内容，确保信息一致性</w:t>
      </w:r>
    </w:p>
    <w:p w14:paraId="2BBE910E">
      <w:pPr>
        <w:numPr>
          <w:ilvl w:val="0"/>
          <w:numId w:val="62"/>
        </w:numPr>
        <w:spacing w:before="120" w:after="120" w:line="288" w:lineRule="auto"/>
      </w:pPr>
      <w:r>
        <w:rPr>
          <w:rFonts w:ascii="Arial" w:hAnsi="Arial" w:eastAsia="等线" w:cs="Arial"/>
          <w:shd w:val="clear" w:color="auto" w:fill="B7EDB1"/>
        </w:rPr>
        <w:t>知识条目新增与审核</w:t>
      </w:r>
    </w:p>
    <w:p w14:paraId="38D4AD78">
      <w:pPr>
        <w:numPr>
          <w:ilvl w:val="0"/>
          <w:numId w:val="63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知识条目新增：处理工单后，可点击 “生成知识条目”，系统自动填充 “问题现象、解决方案”（从工单记录提取），工程师补充完善后提交审核</w:t>
      </w:r>
    </w:p>
    <w:p w14:paraId="09F5D24A">
      <w:pPr>
        <w:numPr>
          <w:ilvl w:val="0"/>
          <w:numId w:val="64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审核流程：知识条目提交后，由知识库管理员在 24 小时内审核，通过则发布至知识库，不通过则反馈修改意见</w:t>
      </w:r>
    </w:p>
    <w:p w14:paraId="49DBC9A7">
      <w:pPr>
        <w:spacing w:before="260" w:after="120" w:line="288" w:lineRule="auto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3.3.2 内容维护</w:t>
      </w:r>
      <w:bookmarkEnd w:id="22"/>
    </w:p>
    <w:p w14:paraId="558FCCB9">
      <w:pPr>
        <w:numPr>
          <w:ilvl w:val="0"/>
          <w:numId w:val="65"/>
        </w:numPr>
        <w:spacing w:before="120" w:after="120" w:line="288" w:lineRule="auto"/>
      </w:pPr>
      <w:r>
        <w:rPr>
          <w:rFonts w:ascii="Arial" w:hAnsi="Arial" w:eastAsia="等线" w:cs="Arial"/>
        </w:rPr>
        <w:t>定期更新：</w:t>
      </w:r>
    </w:p>
    <w:p w14:paraId="3828E524">
      <w:pPr>
        <w:numPr>
          <w:ilvl w:val="0"/>
          <w:numId w:val="66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每季度由知识库管理员组织一次内容优化，删除过时条目（如旧版本的操作指南），补充新增问题解决方案（如新增系统的常见问题）</w:t>
      </w:r>
    </w:p>
    <w:p w14:paraId="6F406942">
      <w:pPr>
        <w:numPr>
          <w:ilvl w:val="0"/>
          <w:numId w:val="67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区隔厂商知识库和自定义知识库，支持知识库更新，更新时不能覆盖自定义知识库（自助下载离线更新包）。</w:t>
      </w:r>
    </w:p>
    <w:p w14:paraId="6CAC35DF">
      <w:pPr>
        <w:numPr>
          <w:ilvl w:val="0"/>
          <w:numId w:val="68"/>
        </w:numPr>
        <w:spacing w:before="120" w:after="120" w:line="288" w:lineRule="auto"/>
      </w:pPr>
      <w:r>
        <w:rPr>
          <w:rFonts w:ascii="Arial" w:hAnsi="Arial" w:eastAsia="等线" w:cs="Arial"/>
        </w:rPr>
        <w:t>质量监控：</w:t>
      </w:r>
    </w:p>
    <w:p w14:paraId="1E248F58">
      <w:pPr>
        <w:numPr>
          <w:ilvl w:val="0"/>
          <w:numId w:val="69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后台统计知识条目的 “被查看次数、被复用次数、用户评分（有用 / 无用）”，对评分较低的条目触发重新审核。</w:t>
      </w:r>
    </w:p>
    <w:p w14:paraId="07AD225A">
      <w:pPr>
        <w:spacing w:before="120" w:after="120" w:line="288" w:lineRule="auto"/>
        <w:jc w:val="center"/>
      </w:pPr>
      <w:r>
        <w:drawing>
          <wp:inline distT="0" distB="0" distL="0" distR="0">
            <wp:extent cx="5257800" cy="4324350"/>
            <wp:effectExtent l="0" t="0" r="0" b="3810"/>
            <wp:docPr id="29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4564">
      <w:pPr>
        <w:spacing w:before="120" w:after="120" w:line="288" w:lineRule="auto"/>
        <w:jc w:val="center"/>
      </w:pPr>
      <w:r>
        <w:drawing>
          <wp:inline distT="0" distB="0" distL="0" distR="0">
            <wp:extent cx="5257800" cy="4514850"/>
            <wp:effectExtent l="0" t="0" r="0" b="11430"/>
            <wp:docPr id="32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2E49">
      <w:pPr>
        <w:spacing w:before="260" w:after="120" w:line="288" w:lineRule="auto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3.4、数据分析与决策</w:t>
      </w:r>
      <w:bookmarkEnd w:id="23"/>
    </w:p>
    <w:p w14:paraId="449488C1">
      <w:pPr>
        <w:spacing w:before="260" w:after="120" w:line="288" w:lineRule="auto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3.4.1 核心功能</w:t>
      </w:r>
      <w:bookmarkEnd w:id="24"/>
    </w:p>
    <w:p w14:paraId="686D573B">
      <w:pPr>
        <w:numPr>
          <w:ilvl w:val="0"/>
          <w:numId w:val="70"/>
        </w:numPr>
        <w:spacing w:before="120" w:after="120" w:line="288" w:lineRule="auto"/>
      </w:pPr>
      <w:r>
        <w:rPr>
          <w:rFonts w:ascii="Arial" w:hAnsi="Arial" w:eastAsia="等线" w:cs="Arial"/>
        </w:rPr>
        <w:t>核心指标仪表盘</w:t>
      </w:r>
    </w:p>
    <w:p w14:paraId="5E76D0EF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服务质量指标：工单总量（日 / 周 / 月趋势）、响应时长（平均 / 最长 / 最短）、解决率（按时解决占比）、用户满意度（平均评分 / 好评率）</w:t>
      </w:r>
    </w:p>
    <w:p w14:paraId="5DD31AB9">
      <w:pPr>
        <w:numPr>
          <w:ilvl w:val="0"/>
          <w:numId w:val="72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团队效率指标：工程师人均工单量、人均解决时长、超时率</w:t>
      </w:r>
    </w:p>
    <w:p w14:paraId="01F96D67">
      <w:pPr>
        <w:numPr>
          <w:ilvl w:val="0"/>
          <w:numId w:val="73"/>
        </w:numPr>
        <w:spacing w:before="120" w:after="120" w:line="288" w:lineRule="auto"/>
        <w:ind w:left="453"/>
      </w:pPr>
      <w:r>
        <w:rPr>
          <w:rFonts w:ascii="Arial" w:hAnsi="Arial" w:eastAsia="等线" w:cs="Arial"/>
        </w:rPr>
        <w:t>问题分布指标：按 “问题类型”“部门”“系统类型” 的工单占比，高频问题 TOP10</w:t>
      </w:r>
    </w:p>
    <w:p w14:paraId="2307C2E0">
      <w:pPr>
        <w:numPr>
          <w:ilvl w:val="0"/>
          <w:numId w:val="74"/>
        </w:numPr>
        <w:spacing w:before="120" w:after="120" w:line="288" w:lineRule="auto"/>
        <w:ind w:left="453"/>
      </w:pPr>
      <w:r>
        <w:rPr>
          <w:rFonts w:ascii="Arial" w:hAnsi="Arial" w:eastAsia="等线" w:cs="Arial"/>
          <w:shd w:val="clear" w:color="auto" w:fill="B7EDB1"/>
        </w:rPr>
        <w:t>可视化形式：采用折线图（趋势）、柱状图（对比）、饼图（占比）、仪表盘（指标达成率），支持点击图表查看明细数据</w:t>
      </w:r>
    </w:p>
    <w:p w14:paraId="3735FE64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5257800"/>
            <wp:effectExtent l="0" t="0" r="0" b="0"/>
            <wp:docPr id="35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6DD2"/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1BA1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324A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01E36"/>
    <w:multiLevelType w:val="multilevel"/>
    <w:tmpl w:val="04A01E36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6FD500B"/>
    <w:multiLevelType w:val="multilevel"/>
    <w:tmpl w:val="06FD500B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B211EBD"/>
    <w:multiLevelType w:val="multilevel"/>
    <w:tmpl w:val="0B211EB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CE90BA9"/>
    <w:multiLevelType w:val="multilevel"/>
    <w:tmpl w:val="0CE90BA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F02629A"/>
    <w:multiLevelType w:val="multilevel"/>
    <w:tmpl w:val="0F02629A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135470A"/>
    <w:multiLevelType w:val="multilevel"/>
    <w:tmpl w:val="1135470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188310F"/>
    <w:multiLevelType w:val="multilevel"/>
    <w:tmpl w:val="1188310F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6FD0F37"/>
    <w:multiLevelType w:val="multilevel"/>
    <w:tmpl w:val="16FD0F3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70D125E"/>
    <w:multiLevelType w:val="multilevel"/>
    <w:tmpl w:val="170D125E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7233C16"/>
    <w:multiLevelType w:val="multilevel"/>
    <w:tmpl w:val="17233C1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9574B17"/>
    <w:multiLevelType w:val="multilevel"/>
    <w:tmpl w:val="19574B1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BB22A3C"/>
    <w:multiLevelType w:val="multilevel"/>
    <w:tmpl w:val="1BB22A3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1E0438EF"/>
    <w:multiLevelType w:val="multilevel"/>
    <w:tmpl w:val="1E0438EF"/>
    <w:lvl w:ilvl="0" w:tentative="0">
      <w:start w:val="0"/>
      <w:numFmt w:val="bullet"/>
      <w:lvlText w:val="▪"/>
      <w:lvlJc w:val="left"/>
      <w:rPr>
        <w:color w:val="3370FF"/>
        <w:sz w:val="11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1E155081"/>
    <w:multiLevelType w:val="multilevel"/>
    <w:tmpl w:val="1E155081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1E815FC3"/>
    <w:multiLevelType w:val="multilevel"/>
    <w:tmpl w:val="1E815FC3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1FF706BB"/>
    <w:multiLevelType w:val="multilevel"/>
    <w:tmpl w:val="1FF706BB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2427A3E"/>
    <w:multiLevelType w:val="multilevel"/>
    <w:tmpl w:val="22427A3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22AC56DC"/>
    <w:multiLevelType w:val="multilevel"/>
    <w:tmpl w:val="22AC56D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24B31629"/>
    <w:multiLevelType w:val="multilevel"/>
    <w:tmpl w:val="24B3162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25711235"/>
    <w:multiLevelType w:val="multilevel"/>
    <w:tmpl w:val="2571123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2631652E"/>
    <w:multiLevelType w:val="multilevel"/>
    <w:tmpl w:val="2631652E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263441F1"/>
    <w:multiLevelType w:val="multilevel"/>
    <w:tmpl w:val="263441F1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26D911D7"/>
    <w:multiLevelType w:val="multilevel"/>
    <w:tmpl w:val="26D911D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2C864D0F"/>
    <w:multiLevelType w:val="multilevel"/>
    <w:tmpl w:val="2C864D0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3922063B"/>
    <w:multiLevelType w:val="multilevel"/>
    <w:tmpl w:val="3922063B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3ABD326E"/>
    <w:multiLevelType w:val="multilevel"/>
    <w:tmpl w:val="3ABD326E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3B5D2EF4"/>
    <w:multiLevelType w:val="multilevel"/>
    <w:tmpl w:val="3B5D2EF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3CD442A2"/>
    <w:multiLevelType w:val="multilevel"/>
    <w:tmpl w:val="3CD442A2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3F4D1FEB"/>
    <w:multiLevelType w:val="multilevel"/>
    <w:tmpl w:val="3F4D1FE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3FBF4DC3"/>
    <w:multiLevelType w:val="multilevel"/>
    <w:tmpl w:val="3FBF4DC3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49237784"/>
    <w:multiLevelType w:val="multilevel"/>
    <w:tmpl w:val="49237784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499C2728"/>
    <w:multiLevelType w:val="multilevel"/>
    <w:tmpl w:val="499C2728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49F4617B"/>
    <w:multiLevelType w:val="multilevel"/>
    <w:tmpl w:val="49F4617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4B455311"/>
    <w:multiLevelType w:val="multilevel"/>
    <w:tmpl w:val="4B455311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4C7F5BBB"/>
    <w:multiLevelType w:val="multilevel"/>
    <w:tmpl w:val="4C7F5BB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4E6C5717"/>
    <w:multiLevelType w:val="multilevel"/>
    <w:tmpl w:val="4E6C571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4EB96357"/>
    <w:multiLevelType w:val="multilevel"/>
    <w:tmpl w:val="4EB9635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51951015"/>
    <w:multiLevelType w:val="multilevel"/>
    <w:tmpl w:val="51951015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51CB1ECE"/>
    <w:multiLevelType w:val="multilevel"/>
    <w:tmpl w:val="51CB1ECE"/>
    <w:lvl w:ilvl="0" w:tentative="0">
      <w:start w:val="1"/>
      <w:numFmt w:val="lowerLetter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528F10AB"/>
    <w:multiLevelType w:val="multilevel"/>
    <w:tmpl w:val="528F10AB"/>
    <w:lvl w:ilvl="0" w:tentative="0">
      <w:start w:val="0"/>
      <w:numFmt w:val="bullet"/>
      <w:lvlText w:val="▪"/>
      <w:lvlJc w:val="left"/>
      <w:rPr>
        <w:color w:val="3370FF"/>
        <w:sz w:val="11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52930FAF"/>
    <w:multiLevelType w:val="multilevel"/>
    <w:tmpl w:val="52930FAF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53354D0E"/>
    <w:multiLevelType w:val="multilevel"/>
    <w:tmpl w:val="53354D0E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2">
    <w:nsid w:val="5348477A"/>
    <w:multiLevelType w:val="multilevel"/>
    <w:tmpl w:val="5348477A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3">
    <w:nsid w:val="5414486E"/>
    <w:multiLevelType w:val="multilevel"/>
    <w:tmpl w:val="5414486E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4">
    <w:nsid w:val="55211DD7"/>
    <w:multiLevelType w:val="multilevel"/>
    <w:tmpl w:val="55211DD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5">
    <w:nsid w:val="576B660D"/>
    <w:multiLevelType w:val="multilevel"/>
    <w:tmpl w:val="576B660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6">
    <w:nsid w:val="5CF034FC"/>
    <w:multiLevelType w:val="multilevel"/>
    <w:tmpl w:val="5CF034FC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7">
    <w:nsid w:val="5DCC2A72"/>
    <w:multiLevelType w:val="multilevel"/>
    <w:tmpl w:val="5DCC2A7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8">
    <w:nsid w:val="5EE71460"/>
    <w:multiLevelType w:val="multilevel"/>
    <w:tmpl w:val="5EE7146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9">
    <w:nsid w:val="60196700"/>
    <w:multiLevelType w:val="multilevel"/>
    <w:tmpl w:val="60196700"/>
    <w:lvl w:ilvl="0" w:tentative="0">
      <w:start w:val="0"/>
      <w:numFmt w:val="bullet"/>
      <w:lvlText w:val="▪"/>
      <w:lvlJc w:val="left"/>
      <w:rPr>
        <w:color w:val="3370FF"/>
        <w:sz w:val="11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0">
    <w:nsid w:val="61181D8A"/>
    <w:multiLevelType w:val="multilevel"/>
    <w:tmpl w:val="61181D8A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1">
    <w:nsid w:val="641542FF"/>
    <w:multiLevelType w:val="multilevel"/>
    <w:tmpl w:val="641542F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2">
    <w:nsid w:val="652C1455"/>
    <w:multiLevelType w:val="multilevel"/>
    <w:tmpl w:val="652C1455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3">
    <w:nsid w:val="68542090"/>
    <w:multiLevelType w:val="multilevel"/>
    <w:tmpl w:val="68542090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4">
    <w:nsid w:val="69564CD4"/>
    <w:multiLevelType w:val="multilevel"/>
    <w:tmpl w:val="69564CD4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5">
    <w:nsid w:val="6A0060B5"/>
    <w:multiLevelType w:val="multilevel"/>
    <w:tmpl w:val="6A0060B5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6">
    <w:nsid w:val="6AB14826"/>
    <w:multiLevelType w:val="multilevel"/>
    <w:tmpl w:val="6AB1482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7">
    <w:nsid w:val="6BE03C20"/>
    <w:multiLevelType w:val="multilevel"/>
    <w:tmpl w:val="6BE03C2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8">
    <w:nsid w:val="6C152C78"/>
    <w:multiLevelType w:val="multilevel"/>
    <w:tmpl w:val="6C152C78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9">
    <w:nsid w:val="6CAD7DF8"/>
    <w:multiLevelType w:val="multilevel"/>
    <w:tmpl w:val="6CAD7DF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0">
    <w:nsid w:val="6D355EDD"/>
    <w:multiLevelType w:val="multilevel"/>
    <w:tmpl w:val="6D355EDD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1">
    <w:nsid w:val="702C18FE"/>
    <w:multiLevelType w:val="multilevel"/>
    <w:tmpl w:val="702C18FE"/>
    <w:lvl w:ilvl="0" w:tentative="0">
      <w:start w:val="0"/>
      <w:numFmt w:val="bullet"/>
      <w:lvlText w:val="▪"/>
      <w:lvlJc w:val="left"/>
      <w:rPr>
        <w:color w:val="3370FF"/>
        <w:sz w:val="11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2">
    <w:nsid w:val="70BC201F"/>
    <w:multiLevelType w:val="multilevel"/>
    <w:tmpl w:val="70BC201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3">
    <w:nsid w:val="73431FCD"/>
    <w:multiLevelType w:val="multilevel"/>
    <w:tmpl w:val="73431FC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4">
    <w:nsid w:val="73F55DE0"/>
    <w:multiLevelType w:val="multilevel"/>
    <w:tmpl w:val="73F55DE0"/>
    <w:lvl w:ilvl="0" w:tentative="0">
      <w:start w:val="2"/>
      <w:numFmt w:val="lowerLetter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5">
    <w:nsid w:val="75FE6F36"/>
    <w:multiLevelType w:val="multilevel"/>
    <w:tmpl w:val="75FE6F36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6">
    <w:nsid w:val="76A14A62"/>
    <w:multiLevelType w:val="multilevel"/>
    <w:tmpl w:val="76A14A6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7">
    <w:nsid w:val="77AC5E30"/>
    <w:multiLevelType w:val="multilevel"/>
    <w:tmpl w:val="77AC5E3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8">
    <w:nsid w:val="785223C0"/>
    <w:multiLevelType w:val="multilevel"/>
    <w:tmpl w:val="785223C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9">
    <w:nsid w:val="7C28503A"/>
    <w:multiLevelType w:val="multilevel"/>
    <w:tmpl w:val="7C28503A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0">
    <w:nsid w:val="7D9470B5"/>
    <w:multiLevelType w:val="multilevel"/>
    <w:tmpl w:val="7D9470B5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1">
    <w:nsid w:val="7DAF7FAB"/>
    <w:multiLevelType w:val="multilevel"/>
    <w:tmpl w:val="7DAF7FA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2">
    <w:nsid w:val="7EE90BD4"/>
    <w:multiLevelType w:val="multilevel"/>
    <w:tmpl w:val="7EE90BD4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3">
    <w:nsid w:val="7F181156"/>
    <w:multiLevelType w:val="multilevel"/>
    <w:tmpl w:val="7F18115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45"/>
  </w:num>
  <w:num w:numId="2">
    <w:abstractNumId w:val="56"/>
  </w:num>
  <w:num w:numId="3">
    <w:abstractNumId w:val="57"/>
  </w:num>
  <w:num w:numId="4">
    <w:abstractNumId w:val="47"/>
  </w:num>
  <w:num w:numId="5">
    <w:abstractNumId w:val="68"/>
  </w:num>
  <w:num w:numId="6">
    <w:abstractNumId w:val="18"/>
  </w:num>
  <w:num w:numId="7">
    <w:abstractNumId w:val="9"/>
  </w:num>
  <w:num w:numId="8">
    <w:abstractNumId w:val="19"/>
  </w:num>
  <w:num w:numId="9">
    <w:abstractNumId w:val="28"/>
  </w:num>
  <w:num w:numId="10">
    <w:abstractNumId w:val="59"/>
  </w:num>
  <w:num w:numId="11">
    <w:abstractNumId w:val="26"/>
  </w:num>
  <w:num w:numId="12">
    <w:abstractNumId w:val="32"/>
  </w:num>
  <w:num w:numId="13">
    <w:abstractNumId w:val="38"/>
  </w:num>
  <w:num w:numId="14">
    <w:abstractNumId w:val="64"/>
  </w:num>
  <w:num w:numId="15">
    <w:abstractNumId w:val="62"/>
  </w:num>
  <w:num w:numId="16">
    <w:abstractNumId w:val="34"/>
  </w:num>
  <w:num w:numId="17">
    <w:abstractNumId w:val="71"/>
  </w:num>
  <w:num w:numId="18">
    <w:abstractNumId w:val="0"/>
  </w:num>
  <w:num w:numId="19">
    <w:abstractNumId w:val="25"/>
  </w:num>
  <w:num w:numId="20">
    <w:abstractNumId w:val="4"/>
  </w:num>
  <w:num w:numId="21">
    <w:abstractNumId w:val="69"/>
  </w:num>
  <w:num w:numId="22">
    <w:abstractNumId w:val="43"/>
  </w:num>
  <w:num w:numId="23">
    <w:abstractNumId w:val="48"/>
  </w:num>
  <w:num w:numId="24">
    <w:abstractNumId w:val="58"/>
  </w:num>
  <w:num w:numId="25">
    <w:abstractNumId w:val="60"/>
  </w:num>
  <w:num w:numId="26">
    <w:abstractNumId w:val="16"/>
  </w:num>
  <w:num w:numId="27">
    <w:abstractNumId w:val="40"/>
  </w:num>
  <w:num w:numId="28">
    <w:abstractNumId w:val="6"/>
  </w:num>
  <w:num w:numId="29">
    <w:abstractNumId w:val="65"/>
  </w:num>
  <w:num w:numId="30">
    <w:abstractNumId w:val="66"/>
  </w:num>
  <w:num w:numId="31">
    <w:abstractNumId w:val="31"/>
  </w:num>
  <w:num w:numId="32">
    <w:abstractNumId w:val="70"/>
  </w:num>
  <w:num w:numId="33">
    <w:abstractNumId w:val="51"/>
  </w:num>
  <w:num w:numId="34">
    <w:abstractNumId w:val="44"/>
  </w:num>
  <w:num w:numId="35">
    <w:abstractNumId w:val="2"/>
  </w:num>
  <w:num w:numId="36">
    <w:abstractNumId w:val="5"/>
  </w:num>
  <w:num w:numId="37">
    <w:abstractNumId w:val="54"/>
  </w:num>
  <w:num w:numId="38">
    <w:abstractNumId w:val="37"/>
  </w:num>
  <w:num w:numId="39">
    <w:abstractNumId w:val="67"/>
  </w:num>
  <w:num w:numId="40">
    <w:abstractNumId w:val="53"/>
  </w:num>
  <w:num w:numId="41">
    <w:abstractNumId w:val="72"/>
  </w:num>
  <w:num w:numId="42">
    <w:abstractNumId w:val="15"/>
  </w:num>
  <w:num w:numId="43">
    <w:abstractNumId w:val="36"/>
  </w:num>
  <w:num w:numId="44">
    <w:abstractNumId w:val="14"/>
  </w:num>
  <w:num w:numId="45">
    <w:abstractNumId w:val="39"/>
  </w:num>
  <w:num w:numId="46">
    <w:abstractNumId w:val="61"/>
  </w:num>
  <w:num w:numId="47">
    <w:abstractNumId w:val="12"/>
  </w:num>
  <w:num w:numId="48">
    <w:abstractNumId w:val="49"/>
  </w:num>
  <w:num w:numId="49">
    <w:abstractNumId w:val="46"/>
  </w:num>
  <w:num w:numId="50">
    <w:abstractNumId w:val="30"/>
  </w:num>
  <w:num w:numId="51">
    <w:abstractNumId w:val="22"/>
  </w:num>
  <w:num w:numId="52">
    <w:abstractNumId w:val="55"/>
  </w:num>
  <w:num w:numId="53">
    <w:abstractNumId w:val="41"/>
  </w:num>
  <w:num w:numId="54">
    <w:abstractNumId w:val="3"/>
  </w:num>
  <w:num w:numId="55">
    <w:abstractNumId w:val="29"/>
  </w:num>
  <w:num w:numId="56">
    <w:abstractNumId w:val="20"/>
  </w:num>
  <w:num w:numId="57">
    <w:abstractNumId w:val="52"/>
  </w:num>
  <w:num w:numId="58">
    <w:abstractNumId w:val="23"/>
  </w:num>
  <w:num w:numId="59">
    <w:abstractNumId w:val="21"/>
  </w:num>
  <w:num w:numId="60">
    <w:abstractNumId w:val="27"/>
  </w:num>
  <w:num w:numId="61">
    <w:abstractNumId w:val="35"/>
  </w:num>
  <w:num w:numId="62">
    <w:abstractNumId w:val="11"/>
  </w:num>
  <w:num w:numId="63">
    <w:abstractNumId w:val="50"/>
  </w:num>
  <w:num w:numId="64">
    <w:abstractNumId w:val="10"/>
  </w:num>
  <w:num w:numId="65">
    <w:abstractNumId w:val="63"/>
  </w:num>
  <w:num w:numId="66">
    <w:abstractNumId w:val="1"/>
  </w:num>
  <w:num w:numId="67">
    <w:abstractNumId w:val="13"/>
  </w:num>
  <w:num w:numId="68">
    <w:abstractNumId w:val="17"/>
  </w:num>
  <w:num w:numId="69">
    <w:abstractNumId w:val="42"/>
  </w:num>
  <w:num w:numId="70">
    <w:abstractNumId w:val="73"/>
  </w:num>
  <w:num w:numId="71">
    <w:abstractNumId w:val="7"/>
  </w:num>
  <w:num w:numId="72">
    <w:abstractNumId w:val="33"/>
  </w:num>
  <w:num w:numId="73">
    <w:abstractNumId w:val="24"/>
  </w:num>
  <w:num w:numId="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1449F"/>
    <w:rsid w:val="2691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5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2025-12-01T02:08:00Z</dcterms:created>
  <dc:creator>WPS_748762520</dc:creator>
  <cp:lastModifiedBy>WPS_748762520</cp:lastModifiedBy>
  <dcterms:modified xsi:type="dcterms:W3CDTF">2025-12-01T02:13:31Z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4BCD8705E46D4F12BB4A6D9249604A4B_11</vt:lpwstr>
  </property>
  <property fmtid="{D5CDD505-2E9C-101B-9397-08002B2CF9AE}" pid="4" name="KSOTemplateDocerSaveRecord">
    <vt:lpwstr>eyJoZGlkIjoiNTkxZWIyZDVkMTc4ZjQ5NTFkY2FlNmU2MGRlOGIxN2UiLCJ1c2VySWQiOiI3NDg3NjI1MjAifQ==</vt:lpwstr>
  </property>
</Properties>
</file>